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BB" w:rsidRDefault="00C523BB">
      <w:pPr>
        <w:jc w:val="center"/>
      </w:pPr>
      <w:bookmarkStart w:id="0" w:name="_GoBack"/>
      <w:bookmarkEnd w:id="0"/>
    </w:p>
    <w:p w:rsidR="00C523BB" w:rsidRDefault="00C523BB">
      <w:pPr>
        <w:jc w:val="center"/>
      </w:pPr>
    </w:p>
    <w:p w:rsidR="00947059" w:rsidRDefault="00947059">
      <w:pPr>
        <w:jc w:val="center"/>
      </w:pPr>
    </w:p>
    <w:p w:rsidR="00947059" w:rsidRDefault="00947059">
      <w:pPr>
        <w:jc w:val="center"/>
      </w:pPr>
    </w:p>
    <w:p w:rsidR="00C523BB" w:rsidRDefault="00C523BB">
      <w:pPr>
        <w:jc w:val="center"/>
      </w:pPr>
    </w:p>
    <w:p w:rsidR="00C12761" w:rsidRDefault="006F4FF0">
      <w:pPr>
        <w:jc w:val="center"/>
      </w:pPr>
      <w:r>
        <w:tab/>
      </w:r>
      <w:r>
        <w:tab/>
      </w:r>
      <w:r>
        <w:tab/>
      </w:r>
      <w:r>
        <w:tab/>
      </w:r>
      <w:r>
        <w:tab/>
      </w:r>
      <w:r>
        <w:tab/>
      </w:r>
      <w:r w:rsidR="00B74218">
        <w:t>August</w:t>
      </w:r>
      <w:r w:rsidR="00040710">
        <w:t xml:space="preserve"> </w:t>
      </w:r>
      <w:r w:rsidR="00B74218">
        <w:t>14</w:t>
      </w:r>
      <w:r w:rsidR="004E1E75">
        <w:t>, 2014</w:t>
      </w:r>
    </w:p>
    <w:p w:rsidR="006F4FF0" w:rsidRDefault="006F4FF0">
      <w:pPr>
        <w:jc w:val="center"/>
      </w:pPr>
    </w:p>
    <w:p w:rsidR="00C523BB" w:rsidRPr="003706AA" w:rsidRDefault="00C523BB" w:rsidP="003706AA">
      <w:pPr>
        <w:ind w:left="1440" w:firstLine="720"/>
        <w:jc w:val="center"/>
        <w:rPr>
          <w:b/>
        </w:rPr>
      </w:pPr>
      <w:r w:rsidRPr="003706AA">
        <w:rPr>
          <w:b/>
        </w:rPr>
        <w:t>BY CERTIFIED MAIL; RETURN RECEIPT REQUESTED</w:t>
      </w:r>
    </w:p>
    <w:p w:rsidR="0050579D" w:rsidRDefault="0050579D"/>
    <w:p w:rsidR="0050579D" w:rsidRDefault="004E1E75">
      <w:r>
        <w:t>ERISA Appeal Committee</w:t>
      </w:r>
    </w:p>
    <w:p w:rsidR="004E1E75" w:rsidRDefault="004E1E75">
      <w:r>
        <w:t>The Goodyear Tire &amp; Rubber Company</w:t>
      </w:r>
    </w:p>
    <w:p w:rsidR="004E1E75" w:rsidRDefault="004E1E75">
      <w:r>
        <w:t>200 Innovation Way</w:t>
      </w:r>
    </w:p>
    <w:p w:rsidR="0050579D" w:rsidRDefault="0050579D">
      <w:r>
        <w:t>Akron, OH 44316-0001</w:t>
      </w:r>
    </w:p>
    <w:p w:rsidR="0050579D" w:rsidRDefault="0050579D"/>
    <w:p w:rsidR="00C523BB" w:rsidRDefault="00C523BB">
      <w:pPr>
        <w:sectPr w:rsidR="00C523BB" w:rsidSect="00421E95">
          <w:footerReference w:type="default" r:id="rId8"/>
          <w:pgSz w:w="12240" w:h="15840" w:code="1"/>
          <w:pgMar w:top="2160" w:right="1440" w:bottom="2160" w:left="1440" w:header="720" w:footer="720" w:gutter="0"/>
          <w:paperSrc w:first="269"/>
          <w:cols w:space="720"/>
          <w:docGrid w:linePitch="360"/>
        </w:sectPr>
      </w:pPr>
    </w:p>
    <w:p w:rsidR="00C523BB" w:rsidRDefault="00C523BB" w:rsidP="004F26FA">
      <w:r>
        <w:lastRenderedPageBreak/>
        <w:tab/>
        <w:t>Re:</w:t>
      </w:r>
      <w:r w:rsidR="007B452E">
        <w:tab/>
      </w:r>
      <w:r w:rsidR="004F26FA" w:rsidRPr="00617B86">
        <w:rPr>
          <w:highlight w:val="black"/>
        </w:rPr>
        <w:t xml:space="preserve">Helena </w:t>
      </w:r>
      <w:proofErr w:type="spellStart"/>
      <w:r w:rsidR="004F26FA" w:rsidRPr="00617B86">
        <w:rPr>
          <w:highlight w:val="black"/>
        </w:rPr>
        <w:t>Arruda</w:t>
      </w:r>
      <w:proofErr w:type="spellEnd"/>
    </w:p>
    <w:p w:rsidR="004F26FA" w:rsidRDefault="004F26FA" w:rsidP="004F26FA">
      <w:r>
        <w:tab/>
      </w:r>
      <w:r>
        <w:tab/>
      </w:r>
      <w:r w:rsidRPr="00617B86">
        <w:rPr>
          <w:highlight w:val="black"/>
        </w:rPr>
        <w:t>65 Juliette Street</w:t>
      </w:r>
    </w:p>
    <w:p w:rsidR="00C523BB" w:rsidRDefault="006C59C8">
      <w:r>
        <w:lastRenderedPageBreak/>
        <w:t>Soc. Sec.</w:t>
      </w:r>
      <w:r w:rsidR="004E6137">
        <w:t xml:space="preserve"> No.: </w:t>
      </w:r>
      <w:r w:rsidR="00203C80">
        <w:tab/>
      </w:r>
      <w:r w:rsidR="0050579D">
        <w:t>XXX-XX</w:t>
      </w:r>
      <w:r w:rsidR="004F26FA">
        <w:t>-</w:t>
      </w:r>
      <w:r w:rsidR="004F26FA" w:rsidRPr="00617B86">
        <w:rPr>
          <w:highlight w:val="black"/>
        </w:rPr>
        <w:t>6281</w:t>
      </w:r>
    </w:p>
    <w:p w:rsidR="00C523BB" w:rsidRDefault="004E6137">
      <w:pPr>
        <w:sectPr w:rsidR="00C523BB" w:rsidSect="00742A1B">
          <w:type w:val="continuous"/>
          <w:pgSz w:w="12240" w:h="15840"/>
          <w:pgMar w:top="1440" w:right="1296" w:bottom="1152" w:left="1584" w:header="720" w:footer="720" w:gutter="0"/>
          <w:paperSrc w:first="272"/>
          <w:cols w:num="2" w:space="720" w:equalWidth="0">
            <w:col w:w="4320" w:space="720"/>
            <w:col w:w="4320"/>
          </w:cols>
          <w:docGrid w:linePitch="360"/>
        </w:sectPr>
      </w:pPr>
      <w:r>
        <w:t>D/O/B:</w:t>
      </w:r>
      <w:r>
        <w:tab/>
        <w:t xml:space="preserve"> </w:t>
      </w:r>
      <w:r w:rsidR="00203C80">
        <w:tab/>
      </w:r>
      <w:r w:rsidR="004F26FA" w:rsidRPr="00617B86">
        <w:rPr>
          <w:highlight w:val="black"/>
        </w:rPr>
        <w:t>1/19/1942</w:t>
      </w:r>
    </w:p>
    <w:p w:rsidR="00C523BB" w:rsidRDefault="004F26FA">
      <w:r>
        <w:lastRenderedPageBreak/>
        <w:tab/>
      </w:r>
      <w:r>
        <w:tab/>
      </w:r>
      <w:proofErr w:type="spellStart"/>
      <w:proofErr w:type="gramStart"/>
      <w:r w:rsidRPr="00617B86">
        <w:rPr>
          <w:highlight w:val="black"/>
        </w:rPr>
        <w:t>orth</w:t>
      </w:r>
      <w:proofErr w:type="spellEnd"/>
      <w:proofErr w:type="gramEnd"/>
      <w:r w:rsidRPr="00617B86">
        <w:rPr>
          <w:highlight w:val="black"/>
        </w:rPr>
        <w:t xml:space="preserve"> Dartmouth, MA 02747</w:t>
      </w:r>
    </w:p>
    <w:p w:rsidR="004F26FA" w:rsidRDefault="004F26FA"/>
    <w:p w:rsidR="00C523BB" w:rsidRDefault="00C523BB">
      <w:r>
        <w:t xml:space="preserve">Dear </w:t>
      </w:r>
      <w:r w:rsidR="004E1E75">
        <w:t>Appeal Committee,</w:t>
      </w:r>
    </w:p>
    <w:p w:rsidR="00C523BB" w:rsidRDefault="00C523BB"/>
    <w:p w:rsidR="00110AFE" w:rsidRDefault="00C523BB" w:rsidP="00110AFE">
      <w:pPr>
        <w:rPr>
          <w:b/>
        </w:rPr>
      </w:pPr>
      <w:r>
        <w:tab/>
      </w:r>
      <w:r w:rsidR="00203C80">
        <w:t>As you</w:t>
      </w:r>
      <w:r w:rsidR="0050579D">
        <w:t xml:space="preserve"> know</w:t>
      </w:r>
      <w:r w:rsidR="00110AFE">
        <w:t xml:space="preserve">, </w:t>
      </w:r>
      <w:r w:rsidR="0050579D" w:rsidRPr="00617B86">
        <w:rPr>
          <w:highlight w:val="black"/>
        </w:rPr>
        <w:t xml:space="preserve">Helena </w:t>
      </w:r>
      <w:proofErr w:type="spellStart"/>
      <w:r w:rsidR="0050579D" w:rsidRPr="00617B86">
        <w:rPr>
          <w:highlight w:val="black"/>
        </w:rPr>
        <w:t>Arruda</w:t>
      </w:r>
      <w:proofErr w:type="spellEnd"/>
      <w:r w:rsidR="00110AFE">
        <w:t xml:space="preserve"> has requested the assistance of the New England Pension Assistance Project with respect to </w:t>
      </w:r>
      <w:r w:rsidR="000900B6">
        <w:t>her entitlement to s</w:t>
      </w:r>
      <w:r w:rsidR="00A90386">
        <w:t>urvivor</w:t>
      </w:r>
      <w:r w:rsidR="000900B6">
        <w:t xml:space="preserve"> pension benefits </w:t>
      </w:r>
      <w:r w:rsidR="00110AFE">
        <w:t>pursuant to the</w:t>
      </w:r>
      <w:r w:rsidR="0050579D">
        <w:t xml:space="preserve"> Goodyear Tire &amp; Rubber Company Retirement Plan for Salaried Employees (“the Plan”)</w:t>
      </w:r>
      <w:r w:rsidR="00110AFE">
        <w:t xml:space="preserve">. </w:t>
      </w:r>
      <w:r w:rsidR="004E1E75">
        <w:t xml:space="preserve"> </w:t>
      </w:r>
      <w:r w:rsidR="00110AFE" w:rsidRPr="009C68D1">
        <w:rPr>
          <w:b/>
        </w:rPr>
        <w:t>T</w:t>
      </w:r>
      <w:r w:rsidR="00A90386">
        <w:rPr>
          <w:b/>
        </w:rPr>
        <w:t>his letter is a</w:t>
      </w:r>
      <w:r w:rsidR="007115D7">
        <w:rPr>
          <w:b/>
        </w:rPr>
        <w:t>n appeal</w:t>
      </w:r>
      <w:r w:rsidR="004E1E75">
        <w:rPr>
          <w:b/>
        </w:rPr>
        <w:t xml:space="preserve"> of the </w:t>
      </w:r>
      <w:r w:rsidR="004B359E">
        <w:rPr>
          <w:b/>
        </w:rPr>
        <w:t xml:space="preserve">portion of the </w:t>
      </w:r>
      <w:r w:rsidR="004E1E75">
        <w:rPr>
          <w:b/>
        </w:rPr>
        <w:t>July 16, 20</w:t>
      </w:r>
      <w:r w:rsidR="000900B6">
        <w:rPr>
          <w:b/>
        </w:rPr>
        <w:t>14 Benefit Operations decision</w:t>
      </w:r>
      <w:r w:rsidR="004B359E">
        <w:rPr>
          <w:b/>
        </w:rPr>
        <w:t xml:space="preserve"> regarding</w:t>
      </w:r>
      <w:r w:rsidR="00523186">
        <w:rPr>
          <w:b/>
        </w:rPr>
        <w:t xml:space="preserve"> the Plan’s</w:t>
      </w:r>
      <w:r w:rsidR="004B359E">
        <w:rPr>
          <w:b/>
        </w:rPr>
        <w:t xml:space="preserve"> recoupment of overpayment</w:t>
      </w:r>
      <w:r w:rsidR="000900B6">
        <w:rPr>
          <w:b/>
        </w:rPr>
        <w:t>.</w:t>
      </w:r>
    </w:p>
    <w:p w:rsidR="000900B6" w:rsidRDefault="000900B6" w:rsidP="00110AFE">
      <w:pPr>
        <w:rPr>
          <w:b/>
        </w:rPr>
      </w:pPr>
    </w:p>
    <w:p w:rsidR="00110AFE" w:rsidRPr="00110AFE" w:rsidRDefault="00110AFE" w:rsidP="00110AFE">
      <w:pPr>
        <w:rPr>
          <w:u w:val="single"/>
        </w:rPr>
      </w:pPr>
      <w:r w:rsidRPr="00110AFE">
        <w:rPr>
          <w:u w:val="single"/>
        </w:rPr>
        <w:t>Factual Background</w:t>
      </w:r>
    </w:p>
    <w:p w:rsidR="00A90386" w:rsidRDefault="00A90386">
      <w:r>
        <w:tab/>
      </w:r>
    </w:p>
    <w:p w:rsidR="007D6D85" w:rsidRPr="006D589A" w:rsidRDefault="00203C80" w:rsidP="007D6D85">
      <w:pPr>
        <w:ind w:firstLine="720"/>
      </w:pPr>
      <w:r w:rsidRPr="00617B86">
        <w:rPr>
          <w:highlight w:val="black"/>
        </w:rPr>
        <w:t xml:space="preserve">Helena </w:t>
      </w:r>
      <w:proofErr w:type="spellStart"/>
      <w:r w:rsidR="007D6D85" w:rsidRPr="00617B86">
        <w:rPr>
          <w:highlight w:val="black"/>
        </w:rPr>
        <w:t>Arruda</w:t>
      </w:r>
      <w:r w:rsidR="007D6D85">
        <w:t>’s</w:t>
      </w:r>
      <w:proofErr w:type="spellEnd"/>
      <w:r w:rsidR="007D6D85">
        <w:t xml:space="preserve"> </w:t>
      </w:r>
      <w:r w:rsidR="00070779">
        <w:t>husband</w:t>
      </w:r>
      <w:r w:rsidR="007D6D85">
        <w:t xml:space="preserve">, </w:t>
      </w:r>
      <w:r w:rsidRPr="00617B86">
        <w:rPr>
          <w:highlight w:val="black"/>
        </w:rPr>
        <w:t>Jo</w:t>
      </w:r>
      <w:r w:rsidR="004B359E" w:rsidRPr="00617B86">
        <w:rPr>
          <w:highlight w:val="black"/>
        </w:rPr>
        <w:t xml:space="preserve">seph </w:t>
      </w:r>
      <w:proofErr w:type="spellStart"/>
      <w:r w:rsidRPr="00617B86">
        <w:rPr>
          <w:highlight w:val="black"/>
        </w:rPr>
        <w:t>Arruda</w:t>
      </w:r>
      <w:proofErr w:type="spellEnd"/>
      <w:r>
        <w:t xml:space="preserve">, was employed at </w:t>
      </w:r>
      <w:r w:rsidR="007D6D85">
        <w:t xml:space="preserve">Goodyear Tire &amp; Rubber </w:t>
      </w:r>
      <w:r>
        <w:t xml:space="preserve">Company </w:t>
      </w:r>
      <w:r w:rsidR="007D6D85">
        <w:t>(“Goo</w:t>
      </w:r>
      <w:r w:rsidR="004E1E75">
        <w:t xml:space="preserve">dyear”) from 1955 through 1987.  </w:t>
      </w:r>
      <w:r w:rsidRPr="00617B86">
        <w:rPr>
          <w:highlight w:val="black"/>
        </w:rPr>
        <w:t>J</w:t>
      </w:r>
      <w:r w:rsidR="004B359E" w:rsidRPr="00617B86">
        <w:rPr>
          <w:highlight w:val="black"/>
        </w:rPr>
        <w:t xml:space="preserve">oseph </w:t>
      </w:r>
      <w:proofErr w:type="spellStart"/>
      <w:r w:rsidR="00A90386" w:rsidRPr="00617B86">
        <w:rPr>
          <w:highlight w:val="black"/>
        </w:rPr>
        <w:t>Arruda</w:t>
      </w:r>
      <w:proofErr w:type="spellEnd"/>
      <w:r w:rsidR="00A90386">
        <w:t xml:space="preserve"> retired from Goodyear in 1987 and beg</w:t>
      </w:r>
      <w:r w:rsidR="004E1E75">
        <w:t>an receiving a pension benefit</w:t>
      </w:r>
      <w:r w:rsidR="00131E98">
        <w:t xml:space="preserve"> thereafter</w:t>
      </w:r>
      <w:r w:rsidR="004E1E75">
        <w:t xml:space="preserve">.  </w:t>
      </w:r>
      <w:r w:rsidRPr="00617B86">
        <w:rPr>
          <w:highlight w:val="black"/>
        </w:rPr>
        <w:t>Jo</w:t>
      </w:r>
      <w:r w:rsidR="004B359E" w:rsidRPr="00617B86">
        <w:rPr>
          <w:highlight w:val="black"/>
        </w:rPr>
        <w:t xml:space="preserve">seph </w:t>
      </w:r>
      <w:proofErr w:type="spellStart"/>
      <w:r w:rsidRPr="00617B86">
        <w:rPr>
          <w:highlight w:val="black"/>
        </w:rPr>
        <w:t>Arruda</w:t>
      </w:r>
      <w:proofErr w:type="spellEnd"/>
      <w:r>
        <w:t xml:space="preserve"> died </w:t>
      </w:r>
      <w:r w:rsidR="00131E98">
        <w:t>in November of 2013 and</w:t>
      </w:r>
      <w:r w:rsidR="00A90386">
        <w:t xml:space="preserve"> </w:t>
      </w:r>
      <w:r w:rsidRPr="00617B86">
        <w:rPr>
          <w:highlight w:val="black"/>
        </w:rPr>
        <w:t xml:space="preserve">Helena </w:t>
      </w:r>
      <w:proofErr w:type="spellStart"/>
      <w:r w:rsidRPr="00617B86">
        <w:rPr>
          <w:highlight w:val="black"/>
        </w:rPr>
        <w:t>Arruda</w:t>
      </w:r>
      <w:proofErr w:type="spellEnd"/>
      <w:r>
        <w:t xml:space="preserve"> was </w:t>
      </w:r>
      <w:r w:rsidR="00131E98">
        <w:t xml:space="preserve">subsequently </w:t>
      </w:r>
      <w:r w:rsidR="007D6D85">
        <w:t xml:space="preserve">notified via telephone that she was not entitled to a survivor benefit. </w:t>
      </w:r>
    </w:p>
    <w:p w:rsidR="007D6D85" w:rsidRPr="006D589A" w:rsidRDefault="007D6D85" w:rsidP="007D6D85"/>
    <w:p w:rsidR="008C12F8" w:rsidRDefault="007D6D85" w:rsidP="008C12F8">
      <w:pPr>
        <w:ind w:firstLine="720"/>
      </w:pPr>
      <w:r w:rsidRPr="006D589A">
        <w:t xml:space="preserve">Upon request, the election forms executed by </w:t>
      </w:r>
      <w:r w:rsidRPr="00617B86">
        <w:rPr>
          <w:highlight w:val="black"/>
        </w:rPr>
        <w:t>Joseph</w:t>
      </w:r>
      <w:r>
        <w:t xml:space="preserve"> and </w:t>
      </w:r>
      <w:r w:rsidRPr="00617B86">
        <w:rPr>
          <w:highlight w:val="black"/>
        </w:rPr>
        <w:t>Hele</w:t>
      </w:r>
      <w:r w:rsidR="004E1E75" w:rsidRPr="00617B86">
        <w:rPr>
          <w:highlight w:val="black"/>
        </w:rPr>
        <w:t xml:space="preserve">na </w:t>
      </w:r>
      <w:proofErr w:type="spellStart"/>
      <w:r w:rsidR="004E1E75" w:rsidRPr="00617B86">
        <w:rPr>
          <w:highlight w:val="black"/>
        </w:rPr>
        <w:t>Arruda</w:t>
      </w:r>
      <w:proofErr w:type="spellEnd"/>
      <w:r w:rsidR="004E1E75">
        <w:t xml:space="preserve"> were provided to her.  </w:t>
      </w:r>
      <w:r w:rsidRPr="006D589A">
        <w:t xml:space="preserve">The documents provided include a form dated </w:t>
      </w:r>
      <w:r w:rsidR="000900B6">
        <w:t xml:space="preserve">January 23, 1987, </w:t>
      </w:r>
      <w:r w:rsidRPr="006D589A">
        <w:t xml:space="preserve">which purports to be </w:t>
      </w:r>
      <w:r w:rsidRPr="00617B86">
        <w:rPr>
          <w:highlight w:val="black"/>
        </w:rPr>
        <w:t xml:space="preserve">Helena </w:t>
      </w:r>
      <w:proofErr w:type="spellStart"/>
      <w:r w:rsidRPr="00617B86">
        <w:rPr>
          <w:highlight w:val="black"/>
        </w:rPr>
        <w:t>Arruda</w:t>
      </w:r>
      <w:r>
        <w:t>’s</w:t>
      </w:r>
      <w:proofErr w:type="spellEnd"/>
      <w:r w:rsidRPr="006D589A">
        <w:t xml:space="preserve"> waiver of her right to a Qualified Joint and Survivo</w:t>
      </w:r>
      <w:r>
        <w:t>r Annuity (hereinafter, “QJSA”)</w:t>
      </w:r>
      <w:r w:rsidR="000900B6">
        <w:t>.</w:t>
      </w:r>
      <w:r w:rsidR="004B359E">
        <w:rPr>
          <w:rStyle w:val="FootnoteReference"/>
        </w:rPr>
        <w:footnoteReference w:id="1"/>
      </w:r>
      <w:r w:rsidR="004B359E">
        <w:t xml:space="preserve">  </w:t>
      </w:r>
      <w:r w:rsidRPr="006D589A">
        <w:t xml:space="preserve">As </w:t>
      </w:r>
      <w:r w:rsidR="000900B6">
        <w:t xml:space="preserve">argued in </w:t>
      </w:r>
      <w:r w:rsidR="00131E98">
        <w:t>the</w:t>
      </w:r>
      <w:r w:rsidR="000900B6">
        <w:t xml:space="preserve"> </w:t>
      </w:r>
      <w:r w:rsidR="004E1E75">
        <w:t>original claim letter dated March 14, 2014</w:t>
      </w:r>
      <w:r w:rsidRPr="006D589A">
        <w:t>, th</w:t>
      </w:r>
      <w:r w:rsidR="008C12F8">
        <w:t xml:space="preserve">is </w:t>
      </w:r>
      <w:r>
        <w:t>document</w:t>
      </w:r>
      <w:r w:rsidRPr="006D589A">
        <w:t xml:space="preserve"> w</w:t>
      </w:r>
      <w:r>
        <w:t xml:space="preserve">as </w:t>
      </w:r>
      <w:r w:rsidRPr="006D589A">
        <w:t>inherently flawed and did not con</w:t>
      </w:r>
      <w:r>
        <w:t xml:space="preserve">stitute an effective waiver of Ms. </w:t>
      </w:r>
      <w:proofErr w:type="spellStart"/>
      <w:r w:rsidRPr="00617B86">
        <w:rPr>
          <w:highlight w:val="black"/>
        </w:rPr>
        <w:t>Arruda</w:t>
      </w:r>
      <w:r w:rsidR="008C12F8">
        <w:t>’s</w:t>
      </w:r>
      <w:proofErr w:type="spellEnd"/>
      <w:r w:rsidR="008C12F8">
        <w:t xml:space="preserve"> right to a QJSA.</w:t>
      </w:r>
    </w:p>
    <w:p w:rsidR="008C12F8" w:rsidRDefault="008C12F8" w:rsidP="008C12F8">
      <w:pPr>
        <w:ind w:firstLine="720"/>
      </w:pPr>
    </w:p>
    <w:p w:rsidR="008C12F8" w:rsidRDefault="00950F30" w:rsidP="00950F30">
      <w:pPr>
        <w:ind w:firstLine="720"/>
      </w:pPr>
      <w:r>
        <w:t xml:space="preserve">In its July 16, 2014 decision </w:t>
      </w:r>
      <w:r w:rsidR="000900B6">
        <w:t xml:space="preserve">regarding </w:t>
      </w:r>
      <w:r>
        <w:t>our cla</w:t>
      </w:r>
      <w:r w:rsidR="00131E98">
        <w:t xml:space="preserve">im for benefits on behalf of </w:t>
      </w:r>
      <w:r w:rsidR="00131E98" w:rsidRPr="00617B86">
        <w:rPr>
          <w:highlight w:val="black"/>
        </w:rPr>
        <w:t>Helena</w:t>
      </w:r>
      <w:r w:rsidRPr="00617B86">
        <w:rPr>
          <w:highlight w:val="black"/>
        </w:rPr>
        <w:t xml:space="preserve"> </w:t>
      </w:r>
      <w:proofErr w:type="spellStart"/>
      <w:r w:rsidRPr="00617B86">
        <w:rPr>
          <w:highlight w:val="black"/>
        </w:rPr>
        <w:t>Arruda</w:t>
      </w:r>
      <w:proofErr w:type="spellEnd"/>
      <w:r>
        <w:t>, t</w:t>
      </w:r>
      <w:r w:rsidR="008C12F8">
        <w:t xml:space="preserve">he Benefit Operations Review Committee </w:t>
      </w:r>
      <w:r>
        <w:t>agreed to provide a</w:t>
      </w:r>
      <w:r w:rsidR="00131E98">
        <w:t xml:space="preserve"> survivor pension payment to </w:t>
      </w:r>
      <w:r w:rsidR="00131E98" w:rsidRPr="00617B86">
        <w:rPr>
          <w:highlight w:val="black"/>
        </w:rPr>
        <w:t>Helena</w:t>
      </w:r>
      <w:r w:rsidRPr="00617B86">
        <w:rPr>
          <w:highlight w:val="black"/>
        </w:rPr>
        <w:t xml:space="preserve"> </w:t>
      </w:r>
      <w:proofErr w:type="spellStart"/>
      <w:r w:rsidRPr="00617B86">
        <w:rPr>
          <w:highlight w:val="black"/>
        </w:rPr>
        <w:t>Arruda</w:t>
      </w:r>
      <w:proofErr w:type="spellEnd"/>
      <w:r>
        <w:t xml:space="preserve"> in the form of a fifty-percent Qualified Joint and Survivor Annuity (QJSA) “as a result of the [Plan’s] inability to produce evidence”</w:t>
      </w:r>
      <w:r w:rsidR="004B359E">
        <w:t xml:space="preserve"> </w:t>
      </w:r>
      <w:r>
        <w:t>that it had followed the proper ERISA procedures regarding the election forms.</w:t>
      </w:r>
      <w:r w:rsidR="004B359E">
        <w:rPr>
          <w:rStyle w:val="FootnoteReference"/>
        </w:rPr>
        <w:footnoteReference w:id="2"/>
      </w:r>
      <w:r>
        <w:t xml:space="preserve">  In ad</w:t>
      </w:r>
      <w:r w:rsidR="004B359E">
        <w:t xml:space="preserve">dition to agreeing to commence payment of </w:t>
      </w:r>
      <w:r w:rsidR="004B359E" w:rsidRPr="00617B86">
        <w:rPr>
          <w:highlight w:val="black"/>
        </w:rPr>
        <w:t xml:space="preserve">Ms. </w:t>
      </w:r>
      <w:proofErr w:type="spellStart"/>
      <w:r w:rsidR="004B359E" w:rsidRPr="00617B86">
        <w:rPr>
          <w:highlight w:val="black"/>
        </w:rPr>
        <w:t>Arruda</w:t>
      </w:r>
      <w:r w:rsidR="004B359E">
        <w:t>’s</w:t>
      </w:r>
      <w:proofErr w:type="spellEnd"/>
      <w:r w:rsidR="004B359E">
        <w:t xml:space="preserve"> entitled survivor benefits</w:t>
      </w:r>
      <w:r>
        <w:t xml:space="preserve">, the Plan stated it would do so only after recouping </w:t>
      </w:r>
      <w:r w:rsidR="005061D2">
        <w:t>an “overpayment of $54.16 per month for 319 months or $17,277.04.”</w:t>
      </w:r>
      <w:r w:rsidR="00B34BEA">
        <w:rPr>
          <w:rStyle w:val="FootnoteReference"/>
        </w:rPr>
        <w:footnoteReference w:id="3"/>
      </w:r>
    </w:p>
    <w:p w:rsidR="005061D2" w:rsidRDefault="005061D2" w:rsidP="005061D2"/>
    <w:p w:rsidR="005061D2" w:rsidRDefault="005061D2" w:rsidP="00B34BEA">
      <w:pPr>
        <w:ind w:firstLine="720"/>
      </w:pPr>
      <w:r>
        <w:t xml:space="preserve">The Plan contends that the authority cited </w:t>
      </w:r>
      <w:r w:rsidR="00131E98">
        <w:t xml:space="preserve">in our original claim to support the assertion that the Plan may not seek recoup payments made to </w:t>
      </w:r>
      <w:r w:rsidR="00131E98" w:rsidRPr="00617B86">
        <w:rPr>
          <w:highlight w:val="black"/>
        </w:rPr>
        <w:t xml:space="preserve">Joseph J. </w:t>
      </w:r>
      <w:proofErr w:type="spellStart"/>
      <w:r w:rsidR="00131E98" w:rsidRPr="00617B86">
        <w:rPr>
          <w:highlight w:val="black"/>
        </w:rPr>
        <w:t>Arruda</w:t>
      </w:r>
      <w:proofErr w:type="spellEnd"/>
      <w:r>
        <w:t xml:space="preserve"> is not applicable to waive the recovery of these </w:t>
      </w:r>
      <w:r w:rsidR="00131E98">
        <w:t>payments</w:t>
      </w:r>
      <w:r>
        <w:t xml:space="preserve"> because the Plan </w:t>
      </w:r>
      <w:r w:rsidR="005F5D78">
        <w:t xml:space="preserve">is </w:t>
      </w:r>
      <w:r>
        <w:t>“not making a correction of operational defects pursuant” to the Employee Plans Compliance Resolution System (</w:t>
      </w:r>
      <w:r w:rsidR="004B359E">
        <w:t>hereinafter “</w:t>
      </w:r>
      <w:r>
        <w:t>EPCRS</w:t>
      </w:r>
      <w:r w:rsidR="004B359E">
        <w:t>”</w:t>
      </w:r>
      <w:r>
        <w:t>).</w:t>
      </w:r>
      <w:r w:rsidR="00B34BEA">
        <w:rPr>
          <w:rStyle w:val="FootnoteReference"/>
        </w:rPr>
        <w:footnoteReference w:id="4"/>
      </w:r>
      <w:r w:rsidR="00131E98">
        <w:t xml:space="preserve">  We argue that the Plan’s contention is plainly incorrect and that the Plan may not seek to recoup from </w:t>
      </w:r>
      <w:r w:rsidR="00131E98" w:rsidRPr="00617B86">
        <w:rPr>
          <w:highlight w:val="black"/>
        </w:rPr>
        <w:t xml:space="preserve">Helena </w:t>
      </w:r>
      <w:proofErr w:type="spellStart"/>
      <w:r w:rsidR="00131E98" w:rsidRPr="00617B86">
        <w:rPr>
          <w:highlight w:val="black"/>
        </w:rPr>
        <w:t>Arruda</w:t>
      </w:r>
      <w:proofErr w:type="spellEnd"/>
      <w:r w:rsidR="00131E98">
        <w:t xml:space="preserve"> payments made to </w:t>
      </w:r>
      <w:r w:rsidR="00B34BEA" w:rsidRPr="00617B86">
        <w:rPr>
          <w:highlight w:val="black"/>
        </w:rPr>
        <w:t xml:space="preserve">Joseph J. </w:t>
      </w:r>
      <w:proofErr w:type="spellStart"/>
      <w:r w:rsidR="00B34BEA" w:rsidRPr="00617B86">
        <w:rPr>
          <w:highlight w:val="black"/>
        </w:rPr>
        <w:t>Arruda</w:t>
      </w:r>
      <w:proofErr w:type="spellEnd"/>
      <w:r w:rsidR="00B34BEA">
        <w:t>.</w:t>
      </w:r>
    </w:p>
    <w:p w:rsidR="00B34BEA" w:rsidRDefault="00B34BEA" w:rsidP="00B34BEA"/>
    <w:p w:rsidR="00B34BEA" w:rsidRDefault="00B34BEA" w:rsidP="00B34BEA">
      <w:pPr>
        <w:rPr>
          <w:u w:val="single"/>
        </w:rPr>
      </w:pPr>
      <w:r>
        <w:rPr>
          <w:u w:val="single"/>
        </w:rPr>
        <w:t>Argument</w:t>
      </w:r>
    </w:p>
    <w:p w:rsidR="00B34BEA" w:rsidRDefault="00B34BEA" w:rsidP="00B34BEA">
      <w:pPr>
        <w:rPr>
          <w:u w:val="single"/>
        </w:rPr>
      </w:pPr>
    </w:p>
    <w:p w:rsidR="00B34BEA" w:rsidRDefault="00B34BEA" w:rsidP="00B34BEA">
      <w:pPr>
        <w:ind w:firstLine="720"/>
      </w:pPr>
      <w:r>
        <w:t xml:space="preserve">As we originally argued and now appeal, the Plan may not seek to recoup any amount that was paid to </w:t>
      </w:r>
      <w:r w:rsidRPr="00040710">
        <w:rPr>
          <w:highlight w:val="black"/>
        </w:rPr>
        <w:t xml:space="preserve">Joseph J. </w:t>
      </w:r>
      <w:proofErr w:type="spellStart"/>
      <w:r w:rsidRPr="00040710">
        <w:rPr>
          <w:highlight w:val="black"/>
        </w:rPr>
        <w:t>Arruda</w:t>
      </w:r>
      <w:proofErr w:type="spellEnd"/>
      <w:r>
        <w:t xml:space="preserve"> as part of his unreduced pension benefit in calculating </w:t>
      </w:r>
      <w:r w:rsidRPr="00040710">
        <w:rPr>
          <w:highlight w:val="black"/>
        </w:rPr>
        <w:t xml:space="preserve">Helena </w:t>
      </w:r>
      <w:proofErr w:type="spellStart"/>
      <w:r w:rsidRPr="00040710">
        <w:rPr>
          <w:highlight w:val="black"/>
        </w:rPr>
        <w:t>Arruda</w:t>
      </w:r>
      <w:r>
        <w:t>’s</w:t>
      </w:r>
      <w:proofErr w:type="spellEnd"/>
      <w:r>
        <w:t xml:space="preserve"> QJSA.  The Plan’s contention that the EPCRS correction procedures do not apply to this Plan failure is incorrect.  EPCRS correction procedures govern all corrections to all Plan failures.  The Plan’s defective election form and failure to properly advise the </w:t>
      </w:r>
      <w:proofErr w:type="spellStart"/>
      <w:r w:rsidRPr="00040710">
        <w:rPr>
          <w:highlight w:val="black"/>
        </w:rPr>
        <w:t>Arrudas</w:t>
      </w:r>
      <w:proofErr w:type="spellEnd"/>
      <w:r>
        <w:t xml:space="preserve"> of their election options constitute a Plan failure.  Further, the Plan is precluded from recoupment of these payments because, due to the defective nature of the Election Form and the Plan’s inability to produce evidence that it had actually followed the required ERISA procedures, the Plan was in violation of its fiduciary duties to </w:t>
      </w:r>
      <w:r w:rsidRPr="00040710">
        <w:rPr>
          <w:highlight w:val="black"/>
        </w:rPr>
        <w:t xml:space="preserve">Helena </w:t>
      </w:r>
      <w:proofErr w:type="spellStart"/>
      <w:r w:rsidRPr="00040710">
        <w:rPr>
          <w:highlight w:val="black"/>
        </w:rPr>
        <w:t>Arruda</w:t>
      </w:r>
      <w:proofErr w:type="spellEnd"/>
      <w:r>
        <w:t xml:space="preserve"> as a beneficiary.</w:t>
      </w:r>
    </w:p>
    <w:p w:rsidR="00B34BEA" w:rsidRDefault="00B34BEA" w:rsidP="00B34BEA"/>
    <w:p w:rsidR="00B34BEA" w:rsidRPr="0059414A" w:rsidRDefault="00B34BEA" w:rsidP="00B34BEA">
      <w:pPr>
        <w:rPr>
          <w:i/>
        </w:rPr>
      </w:pPr>
      <w:r>
        <w:rPr>
          <w:i/>
        </w:rPr>
        <w:t>Plan Failure and Correction Procedures</w:t>
      </w:r>
    </w:p>
    <w:p w:rsidR="00B34BEA" w:rsidRDefault="00B34BEA" w:rsidP="00B34BEA"/>
    <w:p w:rsidR="00B34BEA" w:rsidRDefault="00B34BEA" w:rsidP="00B34BEA">
      <w:pPr>
        <w:ind w:firstLine="720"/>
      </w:pPr>
      <w:r>
        <w:t>EPCRS correction procedures define a Plan failure as “any failure,” including failures in Plan operation or in following the terms of the Plan Document.</w:t>
      </w:r>
      <w:r>
        <w:rPr>
          <w:rStyle w:val="FootnoteReference"/>
        </w:rPr>
        <w:footnoteReference w:id="5"/>
      </w:r>
      <w:r>
        <w:t xml:space="preserve">  Here, the Plan’s failure to properly advise the </w:t>
      </w:r>
      <w:proofErr w:type="spellStart"/>
      <w:r w:rsidRPr="00040710">
        <w:rPr>
          <w:highlight w:val="black"/>
        </w:rPr>
        <w:t>Arrudas</w:t>
      </w:r>
      <w:proofErr w:type="spellEnd"/>
      <w:r>
        <w:t xml:space="preserve"> of their election options, coupled with the lack of evidence to support an </w:t>
      </w:r>
      <w:r w:rsidR="00E373E7">
        <w:t xml:space="preserve">inference that the Plan </w:t>
      </w:r>
      <w:r>
        <w:t>properly advise</w:t>
      </w:r>
      <w:r w:rsidR="00E373E7">
        <w:t>d</w:t>
      </w:r>
      <w:r>
        <w:t xml:space="preserve"> the </w:t>
      </w:r>
      <w:proofErr w:type="spellStart"/>
      <w:r w:rsidRPr="00040710">
        <w:rPr>
          <w:highlight w:val="black"/>
        </w:rPr>
        <w:t>Arrudas</w:t>
      </w:r>
      <w:proofErr w:type="spellEnd"/>
      <w:r>
        <w:t xml:space="preserve"> of their election options, constitutes a Plan failure in following the terms of the Plan </w:t>
      </w:r>
      <w:r w:rsidRPr="00E373E7">
        <w:t>and, more importantly, ERISA procedures.</w:t>
      </w:r>
      <w:r>
        <w:t xml:space="preserve"> </w:t>
      </w:r>
    </w:p>
    <w:p w:rsidR="00B34BEA" w:rsidRDefault="00B34BEA" w:rsidP="00B34BEA"/>
    <w:p w:rsidR="00B34BEA" w:rsidRDefault="00B34BEA" w:rsidP="00B34BEA">
      <w:r>
        <w:lastRenderedPageBreak/>
        <w:tab/>
        <w:t xml:space="preserve">The defective nature of the Plan’s Election Form along with the Plan’s failure to properly advise the </w:t>
      </w:r>
      <w:proofErr w:type="spellStart"/>
      <w:r w:rsidRPr="00040710">
        <w:rPr>
          <w:highlight w:val="black"/>
        </w:rPr>
        <w:t>Arrudas</w:t>
      </w:r>
      <w:proofErr w:type="spellEnd"/>
      <w:r>
        <w:t xml:space="preserve"> of their election options requires</w:t>
      </w:r>
      <w:r w:rsidR="00E373E7">
        <w:t xml:space="preserve"> that</w:t>
      </w:r>
      <w:r>
        <w:t xml:space="preserve"> the Plan’s actions be correctly classified as a Plan failure.  Because this is plainly a Plan failure, EPCRS</w:t>
      </w:r>
      <w:r w:rsidR="007530DA">
        <w:t xml:space="preserve"> correction procedures apply</w:t>
      </w:r>
      <w:r>
        <w:t>.  Section 6.02 explains that “a failure is not corrected unless full correction is made with respect to all participants and beneficiaries.”</w:t>
      </w:r>
      <w:r>
        <w:rPr>
          <w:rStyle w:val="FootnoteReference"/>
        </w:rPr>
        <w:footnoteReference w:id="6"/>
      </w:r>
      <w:r>
        <w:t xml:space="preserve">  Section 6.02(1) further provides that corrections include the “restoration of current and former participants and beneficiaries to the benefits and rights they would have had if the failure had not occurred.”</w:t>
      </w:r>
      <w:r w:rsidR="007530DA">
        <w:rPr>
          <w:rStyle w:val="FootnoteReference"/>
        </w:rPr>
        <w:footnoteReference w:id="7"/>
      </w:r>
      <w:r>
        <w:t xml:space="preserve">  Section 6.02(2) provides that these corrections should be “reasonable and appropriate for the failure” and should, “to the extent possible, resemble one already provided for in the Code, regulations, or other guidance or general applicability.”</w:t>
      </w:r>
      <w:r w:rsidR="007530DA">
        <w:rPr>
          <w:rStyle w:val="FootnoteReference"/>
        </w:rPr>
        <w:footnoteReference w:id="8"/>
      </w:r>
      <w:r>
        <w:t xml:space="preserve">  </w:t>
      </w:r>
    </w:p>
    <w:p w:rsidR="00B34BEA" w:rsidRDefault="00B34BEA" w:rsidP="00B34BEA">
      <w:pPr>
        <w:ind w:firstLine="720"/>
      </w:pPr>
    </w:p>
    <w:p w:rsidR="00B34BEA" w:rsidRDefault="007530DA" w:rsidP="00B34BEA">
      <w:pPr>
        <w:ind w:firstLine="720"/>
      </w:pPr>
      <w:r>
        <w:t>Section 6.06 would require the Plan to properly follow correction procedures by remitting to</w:t>
      </w:r>
      <w:r w:rsidR="00B34BEA">
        <w:t xml:space="preserve"> </w:t>
      </w:r>
      <w:r w:rsidR="00B34BEA" w:rsidRPr="00040710">
        <w:rPr>
          <w:highlight w:val="black"/>
        </w:rPr>
        <w:t xml:space="preserve">Helena </w:t>
      </w:r>
      <w:proofErr w:type="spellStart"/>
      <w:r w:rsidR="00B34BEA" w:rsidRPr="00040710">
        <w:rPr>
          <w:highlight w:val="black"/>
        </w:rPr>
        <w:t>Arruda</w:t>
      </w:r>
      <w:proofErr w:type="spellEnd"/>
      <w:r>
        <w:t xml:space="preserve"> </w:t>
      </w:r>
      <w:r w:rsidR="00B34BEA">
        <w:t>a lump sum retroactive payment with interest of her entitled benefits to the date on which she should have begun receiving her QJSA.</w:t>
      </w:r>
      <w:r>
        <w:rPr>
          <w:rStyle w:val="FootnoteReference"/>
        </w:rPr>
        <w:footnoteReference w:id="9"/>
      </w:r>
      <w:r w:rsidR="00B34BEA">
        <w:t xml:space="preserve">  This correction would </w:t>
      </w:r>
      <w:r w:rsidR="00B34BEA" w:rsidRPr="00040710">
        <w:rPr>
          <w:highlight w:val="black"/>
        </w:rPr>
        <w:t xml:space="preserve">restore Ms. </w:t>
      </w:r>
      <w:proofErr w:type="spellStart"/>
      <w:r w:rsidR="00B34BEA" w:rsidRPr="00040710">
        <w:rPr>
          <w:highlight w:val="black"/>
        </w:rPr>
        <w:t>Arruda</w:t>
      </w:r>
      <w:proofErr w:type="spellEnd"/>
      <w:r w:rsidR="00B34BEA">
        <w:t xml:space="preserve">, the current participant, with the benefits and rights she would have had if the Plan failure had not occurred.  This correction is “reasonable and appropriate for the failure” because </w:t>
      </w:r>
      <w:r w:rsidR="00B34BEA" w:rsidRPr="00040710">
        <w:rPr>
          <w:highlight w:val="black"/>
        </w:rPr>
        <w:t xml:space="preserve">Ms. </w:t>
      </w:r>
      <w:proofErr w:type="spellStart"/>
      <w:r w:rsidR="00B34BEA" w:rsidRPr="00040710">
        <w:rPr>
          <w:highlight w:val="black"/>
        </w:rPr>
        <w:t>Arruda</w:t>
      </w:r>
      <w:proofErr w:type="spellEnd"/>
      <w:r w:rsidR="00B34BEA">
        <w:t xml:space="preserve"> has gone without her entitled survivor benefits since her husband’s passing through no fault of her own.</w:t>
      </w:r>
    </w:p>
    <w:p w:rsidR="00B34BEA" w:rsidRDefault="00B34BEA" w:rsidP="00B34BEA"/>
    <w:p w:rsidR="00B34BEA" w:rsidRDefault="007530DA" w:rsidP="00B34BEA">
      <w:pPr>
        <w:ind w:firstLine="720"/>
      </w:pPr>
      <w:r w:rsidRPr="00E373E7">
        <w:t>Because o</w:t>
      </w:r>
      <w:r w:rsidR="00B34BEA" w:rsidRPr="00E373E7">
        <w:t xml:space="preserve">f the </w:t>
      </w:r>
      <w:r w:rsidRPr="00E373E7">
        <w:t xml:space="preserve">nature of the </w:t>
      </w:r>
      <w:r w:rsidR="00B34BEA" w:rsidRPr="00E373E7">
        <w:t>Plan</w:t>
      </w:r>
      <w:r w:rsidRPr="00E373E7">
        <w:t>’s</w:t>
      </w:r>
      <w:r w:rsidR="00B34BEA" w:rsidRPr="00E373E7">
        <w:t xml:space="preserve"> failure, we would direct the Plan’s attention </w:t>
      </w:r>
      <w:r w:rsidR="00E373E7" w:rsidRPr="00E373E7">
        <w:t xml:space="preserve">to </w:t>
      </w:r>
      <w:r w:rsidR="00B34BEA" w:rsidRPr="00E373E7">
        <w:t>paragraph .07 of Appendix A</w:t>
      </w:r>
      <w:r w:rsidR="00E373E7" w:rsidRPr="00E373E7">
        <w:t xml:space="preserve"> of the EPCRS</w:t>
      </w:r>
      <w:r w:rsidR="00B34BEA" w:rsidRPr="00E373E7">
        <w:t>.</w:t>
      </w:r>
      <w:r w:rsidRPr="00E373E7">
        <w:rPr>
          <w:rStyle w:val="FootnoteReference"/>
        </w:rPr>
        <w:footnoteReference w:id="10"/>
      </w:r>
      <w:r w:rsidR="00B34BEA" w:rsidRPr="00E373E7">
        <w:t xml:space="preserve">  This section pertains to procedures Plans may follow in order to c</w:t>
      </w:r>
      <w:r w:rsidRPr="00E373E7">
        <w:t xml:space="preserve">orrect operational defects.  </w:t>
      </w:r>
      <w:r w:rsidR="00B34BEA" w:rsidRPr="00E373E7">
        <w:t xml:space="preserve">This provision explicitly states that, “the portion of the qualified joint and survivor annuity payable to the spouse upon the death of the participant may </w:t>
      </w:r>
      <w:r w:rsidR="00B34BEA" w:rsidRPr="00E373E7">
        <w:rPr>
          <w:u w:val="single"/>
        </w:rPr>
        <w:t>not</w:t>
      </w:r>
      <w:r w:rsidR="00B34BEA" w:rsidRPr="00E373E7">
        <w:t xml:space="preserve"> be actuarially reduced to take into account prior dis</w:t>
      </w:r>
      <w:r w:rsidR="00E373E7" w:rsidRPr="00E373E7">
        <w:t>tributions to the participant.”</w:t>
      </w:r>
      <w:r w:rsidR="00E373E7" w:rsidRPr="00E373E7">
        <w:rPr>
          <w:rStyle w:val="FootnoteReference"/>
        </w:rPr>
        <w:footnoteReference w:id="11"/>
      </w:r>
      <w:r w:rsidR="00E373E7" w:rsidRPr="00E373E7">
        <w:t xml:space="preserve">  </w:t>
      </w:r>
      <w:r w:rsidR="00B34BEA" w:rsidRPr="00E373E7">
        <w:t>(</w:t>
      </w:r>
      <w:proofErr w:type="gramStart"/>
      <w:r w:rsidR="00B34BEA" w:rsidRPr="00E373E7">
        <w:t>emphasis</w:t>
      </w:r>
      <w:proofErr w:type="gramEnd"/>
      <w:r w:rsidR="00B34BEA" w:rsidRPr="00E373E7">
        <w:t xml:space="preserve"> added).</w:t>
      </w:r>
      <w:r w:rsidRPr="00E373E7">
        <w:t xml:space="preserve">  </w:t>
      </w:r>
      <w:r w:rsidR="00B34BEA" w:rsidRPr="00E373E7">
        <w:t xml:space="preserve">If the Plan should attempt offset any amount payable to </w:t>
      </w:r>
      <w:r w:rsidR="00B34BEA" w:rsidRPr="00040710">
        <w:rPr>
          <w:highlight w:val="black"/>
        </w:rPr>
        <w:t xml:space="preserve">Helena </w:t>
      </w:r>
      <w:proofErr w:type="spellStart"/>
      <w:r w:rsidR="00B34BEA" w:rsidRPr="00040710">
        <w:rPr>
          <w:highlight w:val="black"/>
        </w:rPr>
        <w:t>Arruda</w:t>
      </w:r>
      <w:proofErr w:type="spellEnd"/>
      <w:r w:rsidR="00B34BEA" w:rsidRPr="00E373E7">
        <w:t xml:space="preserve"> by amounts by which her husband was overpaid, the Plan would be acting in contravention of clear IRS procedures and co</w:t>
      </w:r>
      <w:r w:rsidR="00E373E7" w:rsidRPr="00E373E7">
        <w:t>uld face plan disqualification.</w:t>
      </w:r>
      <w:r w:rsidR="00E373E7" w:rsidRPr="00E373E7">
        <w:rPr>
          <w:rStyle w:val="FootnoteReference"/>
        </w:rPr>
        <w:footnoteReference w:id="12"/>
      </w:r>
    </w:p>
    <w:p w:rsidR="00B34BEA" w:rsidRDefault="00B34BEA" w:rsidP="00B34BEA"/>
    <w:p w:rsidR="00834DBF" w:rsidRDefault="007530DA" w:rsidP="00B34BEA">
      <w:r>
        <w:tab/>
        <w:t xml:space="preserve">In its decision withholding </w:t>
      </w:r>
      <w:r w:rsidRPr="00040710">
        <w:rPr>
          <w:highlight w:val="black"/>
        </w:rPr>
        <w:t xml:space="preserve">Helena </w:t>
      </w:r>
      <w:proofErr w:type="spellStart"/>
      <w:r w:rsidRPr="00040710">
        <w:rPr>
          <w:highlight w:val="black"/>
        </w:rPr>
        <w:t>Arruda</w:t>
      </w:r>
      <w:r>
        <w:t>’s</w:t>
      </w:r>
      <w:proofErr w:type="spellEnd"/>
      <w:r>
        <w:t xml:space="preserve"> enti</w:t>
      </w:r>
      <w:r w:rsidR="00D25FAC">
        <w:t xml:space="preserve">tled survivor benefits until the Plan </w:t>
      </w:r>
      <w:r>
        <w:t>had</w:t>
      </w:r>
      <w:r w:rsidR="009904D9">
        <w:t xml:space="preserve"> recouped payments made to </w:t>
      </w:r>
      <w:r w:rsidR="009904D9" w:rsidRPr="00040710">
        <w:rPr>
          <w:highlight w:val="black"/>
        </w:rPr>
        <w:t>Josep</w:t>
      </w:r>
      <w:r w:rsidRPr="00040710">
        <w:rPr>
          <w:highlight w:val="black"/>
        </w:rPr>
        <w:t xml:space="preserve">h </w:t>
      </w:r>
      <w:proofErr w:type="spellStart"/>
      <w:r w:rsidRPr="00040710">
        <w:rPr>
          <w:highlight w:val="black"/>
        </w:rPr>
        <w:t>Arruda</w:t>
      </w:r>
      <w:proofErr w:type="spellEnd"/>
      <w:r>
        <w:t xml:space="preserve">, the Benefits Committee cited </w:t>
      </w:r>
      <w:r w:rsidR="00FD36C8" w:rsidRPr="00FD36C8">
        <w:rPr>
          <w:i/>
        </w:rPr>
        <w:t>Hearn v. Western Conference of Teamsters Pension Trust Fund</w:t>
      </w:r>
      <w:r w:rsidR="00FD36C8">
        <w:rPr>
          <w:rStyle w:val="FootnoteReference"/>
        </w:rPr>
        <w:footnoteReference w:id="13"/>
      </w:r>
      <w:r w:rsidR="00FD36C8">
        <w:t xml:space="preserve"> as providing the Committee with the authority to offset survivor benefits to </w:t>
      </w:r>
      <w:r w:rsidR="00FD36C8" w:rsidRPr="00040710">
        <w:rPr>
          <w:highlight w:val="black"/>
        </w:rPr>
        <w:t xml:space="preserve">Helena </w:t>
      </w:r>
      <w:proofErr w:type="spellStart"/>
      <w:r w:rsidR="00FD36C8" w:rsidRPr="00040710">
        <w:rPr>
          <w:highlight w:val="black"/>
        </w:rPr>
        <w:t>Arruda</w:t>
      </w:r>
      <w:proofErr w:type="spellEnd"/>
      <w:r w:rsidR="00FD36C8">
        <w:t xml:space="preserve"> by overpayments made to </w:t>
      </w:r>
      <w:r w:rsidR="00FD36C8" w:rsidRPr="00040710">
        <w:rPr>
          <w:highlight w:val="black"/>
        </w:rPr>
        <w:t xml:space="preserve">Joseph </w:t>
      </w:r>
      <w:proofErr w:type="spellStart"/>
      <w:r w:rsidR="00FD36C8" w:rsidRPr="00040710">
        <w:rPr>
          <w:highlight w:val="black"/>
        </w:rPr>
        <w:t>Arruda</w:t>
      </w:r>
      <w:proofErr w:type="spellEnd"/>
      <w:r w:rsidR="00FD36C8">
        <w:t xml:space="preserve">.  The Plan contends that the “law is clear that the Plan has a fiduciary duty to attempt to collect </w:t>
      </w:r>
      <w:r w:rsidR="00FD36C8">
        <w:lastRenderedPageBreak/>
        <w:t>overpayments and if the overpayment is not repaid, then to offset that amount against future payments.”</w:t>
      </w:r>
      <w:r w:rsidR="00FD36C8">
        <w:rPr>
          <w:rStyle w:val="FootnoteReference"/>
        </w:rPr>
        <w:footnoteReference w:id="14"/>
      </w:r>
      <w:r w:rsidR="00FD36C8">
        <w:t xml:space="preserve">  </w:t>
      </w:r>
    </w:p>
    <w:p w:rsidR="00834DBF" w:rsidRDefault="00834DBF" w:rsidP="00B34BEA"/>
    <w:p w:rsidR="00B34BEA" w:rsidRDefault="00FD36C8" w:rsidP="00834DBF">
      <w:pPr>
        <w:ind w:firstLine="720"/>
      </w:pPr>
      <w:r>
        <w:t xml:space="preserve">The </w:t>
      </w:r>
      <w:r w:rsidRPr="00FD36C8">
        <w:rPr>
          <w:i/>
        </w:rPr>
        <w:t>Hearn</w:t>
      </w:r>
      <w:r w:rsidR="00D25FAC">
        <w:t xml:space="preserve"> case does not support the Plan’s contentions </w:t>
      </w:r>
      <w:r>
        <w:t xml:space="preserve">and is distinguishable from </w:t>
      </w:r>
      <w:r w:rsidRPr="00040710">
        <w:rPr>
          <w:highlight w:val="black"/>
        </w:rPr>
        <w:t xml:space="preserve">Ms. </w:t>
      </w:r>
      <w:proofErr w:type="spellStart"/>
      <w:r w:rsidRPr="00040710">
        <w:rPr>
          <w:highlight w:val="black"/>
        </w:rPr>
        <w:t>Arruda</w:t>
      </w:r>
      <w:r>
        <w:t>’s</w:t>
      </w:r>
      <w:proofErr w:type="spellEnd"/>
      <w:r>
        <w:t xml:space="preserve"> case for a few reasons.  </w:t>
      </w:r>
      <w:r w:rsidR="00D25FAC">
        <w:t xml:space="preserve">First, the Plan in the </w:t>
      </w:r>
      <w:r w:rsidR="00D25FAC" w:rsidRPr="00320DBB">
        <w:rPr>
          <w:i/>
        </w:rPr>
        <w:t>Hearn</w:t>
      </w:r>
      <w:r w:rsidR="00D25FAC">
        <w:t xml:space="preserve"> case was repeatedly referred to by the court as a “deceived fund.”</w:t>
      </w:r>
      <w:r w:rsidR="00D25FAC">
        <w:rPr>
          <w:rStyle w:val="FootnoteReference"/>
        </w:rPr>
        <w:footnoteReference w:id="15"/>
      </w:r>
      <w:r w:rsidR="00D25FAC">
        <w:t xml:space="preserve">  T</w:t>
      </w:r>
      <w:r>
        <w:t>he issue</w:t>
      </w:r>
      <w:r w:rsidR="005A1278">
        <w:t xml:space="preserve"> in that case</w:t>
      </w:r>
      <w:r>
        <w:t xml:space="preserve"> was the intentional misrepresentation of marital status by the employee spouse.  The employee spouse</w:t>
      </w:r>
      <w:r w:rsidR="00834DBF">
        <w:t>, who had been separated from his wife</w:t>
      </w:r>
      <w:r w:rsidR="005A1278">
        <w:t xml:space="preserve"> but not divorced</w:t>
      </w:r>
      <w:r w:rsidR="00834DBF">
        <w:t>, intentionally claimed to be single on his election form wi</w:t>
      </w:r>
      <w:r w:rsidR="005A1278">
        <w:t xml:space="preserve">thout the consent of his wife.  This act of deceit by the employee spouse led the Plan to reasonably and with good faith treat the annuity as a single life annuity.  </w:t>
      </w:r>
      <w:r w:rsidR="00D26EB7">
        <w:t xml:space="preserve">Here, </w:t>
      </w:r>
      <w:r w:rsidR="005A1278">
        <w:t>there were no acts of deceit.  T</w:t>
      </w:r>
      <w:r w:rsidR="00D26EB7">
        <w:t xml:space="preserve">here was no intentional misrepresentation by </w:t>
      </w:r>
      <w:r w:rsidR="00D26EB7" w:rsidRPr="00040710">
        <w:rPr>
          <w:highlight w:val="black"/>
        </w:rPr>
        <w:t xml:space="preserve">Joseph </w:t>
      </w:r>
      <w:proofErr w:type="spellStart"/>
      <w:r w:rsidR="00D26EB7" w:rsidRPr="00040710">
        <w:rPr>
          <w:highlight w:val="black"/>
        </w:rPr>
        <w:t>Arruda</w:t>
      </w:r>
      <w:proofErr w:type="spellEnd"/>
      <w:r w:rsidR="00D26EB7">
        <w:t xml:space="preserve"> in order to obtain the single life annuity for </w:t>
      </w:r>
      <w:proofErr w:type="gramStart"/>
      <w:r w:rsidR="00D26EB7">
        <w:t>himself</w:t>
      </w:r>
      <w:proofErr w:type="gramEnd"/>
      <w:r w:rsidR="00D26EB7">
        <w:t xml:space="preserve">.  The fact that </w:t>
      </w:r>
      <w:r w:rsidR="00D26EB7" w:rsidRPr="00040710">
        <w:rPr>
          <w:highlight w:val="black"/>
        </w:rPr>
        <w:t xml:space="preserve">Mr. </w:t>
      </w:r>
      <w:proofErr w:type="spellStart"/>
      <w:r w:rsidR="00D26EB7" w:rsidRPr="00040710">
        <w:rPr>
          <w:highlight w:val="black"/>
        </w:rPr>
        <w:t>Arruda</w:t>
      </w:r>
      <w:proofErr w:type="spellEnd"/>
      <w:r w:rsidR="00D26EB7">
        <w:t xml:space="preserve"> was paid a single life annuity was due to the defective election forms he and </w:t>
      </w:r>
      <w:r w:rsidR="00D26EB7" w:rsidRPr="00040710">
        <w:rPr>
          <w:highlight w:val="black"/>
        </w:rPr>
        <w:t xml:space="preserve">Ms. </w:t>
      </w:r>
      <w:proofErr w:type="spellStart"/>
      <w:r w:rsidR="00D26EB7" w:rsidRPr="00040710">
        <w:rPr>
          <w:highlight w:val="black"/>
        </w:rPr>
        <w:t>Arruda</w:t>
      </w:r>
      <w:proofErr w:type="spellEnd"/>
      <w:r w:rsidR="00D26EB7">
        <w:t xml:space="preserve"> were presented</w:t>
      </w:r>
      <w:r w:rsidR="005A1278">
        <w:t xml:space="preserve"> at the time of election and the lack of clarity with which </w:t>
      </w:r>
      <w:r w:rsidR="00E373E7">
        <w:t>their options were described</w:t>
      </w:r>
      <w:r w:rsidR="005A1278">
        <w:t>.  The Goodyear Plan was not a “deceived fund.”</w:t>
      </w:r>
    </w:p>
    <w:p w:rsidR="005A1278" w:rsidRDefault="005A1278" w:rsidP="00834DBF">
      <w:pPr>
        <w:ind w:firstLine="720"/>
      </w:pPr>
    </w:p>
    <w:p w:rsidR="005A1278" w:rsidRDefault="005A1278" w:rsidP="00834DBF">
      <w:pPr>
        <w:ind w:firstLine="720"/>
      </w:pPr>
      <w:r>
        <w:t xml:space="preserve">The second reason that the </w:t>
      </w:r>
      <w:r w:rsidRPr="00320DBB">
        <w:rPr>
          <w:i/>
        </w:rPr>
        <w:t>Hearn</w:t>
      </w:r>
      <w:r>
        <w:t xml:space="preserve"> case is distinguishable from the instant case is the good faith with which the Plan in the </w:t>
      </w:r>
      <w:r w:rsidRPr="00320DBB">
        <w:rPr>
          <w:i/>
        </w:rPr>
        <w:t>Hearn</w:t>
      </w:r>
      <w:r>
        <w:t xml:space="preserve"> case acted upon.  In that case, the Plan had no reason to believe the employee spouse was deceiving them and acted upon his misrepresentations.  The court ruled that the “Trust Fund’s good faith determination is treated as conclusive, but only ‘to the extent’ the Fund has already made payments.”</w:t>
      </w:r>
      <w:r w:rsidR="003E33AA">
        <w:rPr>
          <w:rStyle w:val="FootnoteReference"/>
        </w:rPr>
        <w:footnoteReference w:id="16"/>
      </w:r>
      <w:r>
        <w:t xml:space="preserve">  The court further explains that interpretation of the statute would only hold the Fund liable to the surviving spouse if the </w:t>
      </w:r>
      <w:r w:rsidR="003E33AA">
        <w:t xml:space="preserve">Fund’s “debt to her exceeds </w:t>
      </w:r>
      <w:proofErr w:type="gramStart"/>
      <w:r w:rsidR="003E33AA">
        <w:t>its</w:t>
      </w:r>
      <w:proofErr w:type="gramEnd"/>
      <w:r w:rsidR="003E33AA">
        <w:t xml:space="preserve"> over payment to her husband.”</w:t>
      </w:r>
      <w:r w:rsidR="003E33AA">
        <w:rPr>
          <w:rStyle w:val="FootnoteReference"/>
        </w:rPr>
        <w:footnoteReference w:id="17"/>
      </w:r>
      <w:r w:rsidR="003E33AA">
        <w:t xml:space="preserve">  The court continued by adding, “In other words, to the extent Mr. Hearn </w:t>
      </w:r>
      <w:r w:rsidR="003E33AA" w:rsidRPr="003E33AA">
        <w:rPr>
          <w:i/>
        </w:rPr>
        <w:t>hornswoggled</w:t>
      </w:r>
      <w:r w:rsidR="003E33AA">
        <w:t xml:space="preserve"> the Trust Fund into paying him more than he was entitled to, payments to Mrs. Hearn are suspended until the Fund is more or less where it would have been had Mr. Hearn honestly disclosed his marital status.”</w:t>
      </w:r>
      <w:r w:rsidR="003E33AA">
        <w:rPr>
          <w:rStyle w:val="FootnoteReference"/>
        </w:rPr>
        <w:footnoteReference w:id="18"/>
      </w:r>
    </w:p>
    <w:p w:rsidR="00B34BEA" w:rsidRDefault="00B34BEA" w:rsidP="00B34BEA"/>
    <w:p w:rsidR="003E33AA" w:rsidRDefault="003E33AA" w:rsidP="00B34BEA">
      <w:r>
        <w:tab/>
        <w:t xml:space="preserve">The court in </w:t>
      </w:r>
      <w:r w:rsidRPr="00320DBB">
        <w:rPr>
          <w:i/>
        </w:rPr>
        <w:t>Hearn</w:t>
      </w:r>
      <w:r>
        <w:t xml:space="preserve"> clearly makes the Fund’s ability to suspend payments to or demand recoupment from a surviving spouse contingent upon the Fund’s being deceived or misled in some way.  This is clearly distinguishable from the </w:t>
      </w:r>
      <w:proofErr w:type="spellStart"/>
      <w:r w:rsidRPr="00040710">
        <w:rPr>
          <w:highlight w:val="black"/>
        </w:rPr>
        <w:t>Arruda</w:t>
      </w:r>
      <w:r>
        <w:t>’s</w:t>
      </w:r>
      <w:proofErr w:type="spellEnd"/>
      <w:r>
        <w:t xml:space="preserve"> case, as we have argued, because neither Mr. nor Ms. </w:t>
      </w:r>
      <w:proofErr w:type="spellStart"/>
      <w:r w:rsidRPr="00040710">
        <w:rPr>
          <w:highlight w:val="black"/>
        </w:rPr>
        <w:t>Arruda</w:t>
      </w:r>
      <w:proofErr w:type="spellEnd"/>
      <w:r>
        <w:t xml:space="preserve"> deceived or misrepresented their desired benefit election.  The election was made due the defective nature of the election form and the lack of guidance by the Plan in informing them of their options and rights.</w:t>
      </w:r>
    </w:p>
    <w:p w:rsidR="00B34BEA" w:rsidRDefault="00B34BEA" w:rsidP="00B34BEA"/>
    <w:p w:rsidR="00B34BEA" w:rsidRPr="00FB6464" w:rsidRDefault="00B34BEA" w:rsidP="00B34BEA">
      <w:pPr>
        <w:rPr>
          <w:u w:val="single"/>
        </w:rPr>
      </w:pPr>
      <w:r w:rsidRPr="00FB6464">
        <w:rPr>
          <w:u w:val="single"/>
        </w:rPr>
        <w:t>Conclusion</w:t>
      </w:r>
    </w:p>
    <w:p w:rsidR="00B34BEA" w:rsidRDefault="00B34BEA" w:rsidP="00B34BEA"/>
    <w:p w:rsidR="00B34BEA" w:rsidRDefault="00B34BEA" w:rsidP="00B34BEA">
      <w:r>
        <w:tab/>
      </w:r>
      <w:r w:rsidR="00834DBF" w:rsidRPr="00040710">
        <w:rPr>
          <w:highlight w:val="black"/>
        </w:rPr>
        <w:t>Helena</w:t>
      </w:r>
      <w:r w:rsidRPr="00040710">
        <w:rPr>
          <w:highlight w:val="black"/>
        </w:rPr>
        <w:t xml:space="preserve"> </w:t>
      </w:r>
      <w:proofErr w:type="spellStart"/>
      <w:r w:rsidRPr="00040710">
        <w:rPr>
          <w:highlight w:val="black"/>
        </w:rPr>
        <w:t>Arruda</w:t>
      </w:r>
      <w:r>
        <w:t>’s</w:t>
      </w:r>
      <w:proofErr w:type="spellEnd"/>
      <w:r>
        <w:t xml:space="preserve"> entitlement to a survivor benefit is well-documented by the evidence submitted herein.  For the reasons discussed above, we hereby request that the Plan calculate and </w:t>
      </w:r>
      <w:r>
        <w:lastRenderedPageBreak/>
        <w:t>pa</w:t>
      </w:r>
      <w:r w:rsidR="00834DBF">
        <w:t xml:space="preserve">y the benefit to </w:t>
      </w:r>
      <w:r w:rsidRPr="00040710">
        <w:rPr>
          <w:highlight w:val="black"/>
        </w:rPr>
        <w:t xml:space="preserve">Ms. </w:t>
      </w:r>
      <w:proofErr w:type="spellStart"/>
      <w:r w:rsidRPr="00040710">
        <w:rPr>
          <w:highlight w:val="black"/>
        </w:rPr>
        <w:t>Arruda</w:t>
      </w:r>
      <w:proofErr w:type="spellEnd"/>
      <w:r w:rsidR="00834DBF">
        <w:t xml:space="preserve">, without recoupment as a factor, that she </w:t>
      </w:r>
      <w:r>
        <w:t xml:space="preserve">entitled pursuant to the Plan.  </w:t>
      </w:r>
      <w:r w:rsidRPr="006C59C8">
        <w:t>Please</w:t>
      </w:r>
      <w:r>
        <w:t xml:space="preserve"> direct your written response to us at:</w:t>
      </w:r>
      <w:r w:rsidRPr="00472949">
        <w:rPr>
          <w:u w:val="single"/>
        </w:rPr>
        <w:t xml:space="preserve"> </w:t>
      </w:r>
      <w:r>
        <w:rPr>
          <w:u w:val="single"/>
        </w:rPr>
        <w:t xml:space="preserve">New England Pension Assistance Project, Gerontology Institute, Univ. of </w:t>
      </w:r>
      <w:smartTag w:uri="urn:schemas-microsoft-com:office:smarttags" w:element="PlaceName">
        <w:r>
          <w:rPr>
            <w:u w:val="single"/>
          </w:rPr>
          <w:t>Massachusetts Boston</w:t>
        </w:r>
      </w:smartTag>
      <w:r>
        <w:rPr>
          <w:u w:val="single"/>
        </w:rPr>
        <w:t xml:space="preserve">, </w:t>
      </w:r>
      <w:proofErr w:type="gramStart"/>
      <w:smartTag w:uri="urn:schemas-microsoft-com:office:smarttags" w:element="Street">
        <w:r>
          <w:rPr>
            <w:u w:val="single"/>
          </w:rPr>
          <w:t>100</w:t>
        </w:r>
        <w:proofErr w:type="gramEnd"/>
        <w:r>
          <w:rPr>
            <w:u w:val="single"/>
          </w:rPr>
          <w:t xml:space="preserve"> Morrissey Blvd.</w:t>
        </w:r>
      </w:smartTag>
      <w:r>
        <w:rPr>
          <w:u w:val="single"/>
        </w:rPr>
        <w:t>, Boston, MA 02125.</w:t>
      </w:r>
      <w:r>
        <w:t xml:space="preserve"> Please feel free to call or email Jeanne Medeiros at 617-287-7332 or </w:t>
      </w:r>
      <w:hyperlink r:id="rId9" w:history="1">
        <w:r w:rsidRPr="00E35B0D">
          <w:rPr>
            <w:rStyle w:val="Hyperlink"/>
          </w:rPr>
          <w:t>Jeanne.medeiros@umb.edu</w:t>
        </w:r>
      </w:hyperlink>
      <w:r>
        <w:t xml:space="preserve"> if we can provide you with any further information. </w:t>
      </w:r>
    </w:p>
    <w:p w:rsidR="00B34BEA" w:rsidRDefault="00B34BEA" w:rsidP="00B34BEA">
      <w:r>
        <w:tab/>
      </w:r>
    </w:p>
    <w:p w:rsidR="00B34BEA" w:rsidRDefault="00B34BEA" w:rsidP="00834DBF">
      <w:pPr>
        <w:ind w:firstLine="720"/>
      </w:pPr>
      <w:r>
        <w:t xml:space="preserve">Thank you for your timely response to this </w:t>
      </w:r>
      <w:r w:rsidR="00834DBF">
        <w:t>appeal of the Benefits Committee decision</w:t>
      </w:r>
      <w:r>
        <w:t>.</w:t>
      </w:r>
    </w:p>
    <w:p w:rsidR="00B34BEA" w:rsidRDefault="00B34BEA" w:rsidP="00B34BEA"/>
    <w:p w:rsidR="00B34BEA" w:rsidRDefault="00B34BEA" w:rsidP="00B34BEA">
      <w:r>
        <w:tab/>
      </w:r>
      <w:r>
        <w:tab/>
      </w:r>
      <w:r>
        <w:tab/>
      </w:r>
      <w:r>
        <w:tab/>
      </w:r>
      <w:r>
        <w:tab/>
      </w:r>
      <w:r>
        <w:tab/>
      </w:r>
      <w:r>
        <w:tab/>
      </w:r>
      <w:r>
        <w:tab/>
      </w:r>
    </w:p>
    <w:p w:rsidR="00B34BEA" w:rsidRDefault="00B34BEA" w:rsidP="00B34BEA">
      <w:pPr>
        <w:ind w:left="4320" w:firstLine="720"/>
      </w:pPr>
      <w:r>
        <w:t>Sincerely,</w:t>
      </w:r>
    </w:p>
    <w:p w:rsidR="00B34BEA" w:rsidRDefault="00B34BEA" w:rsidP="00B34BEA"/>
    <w:p w:rsidR="00B34BEA" w:rsidRDefault="00B34BEA" w:rsidP="00B34BEA">
      <w:r>
        <w:tab/>
      </w:r>
      <w:r>
        <w:tab/>
      </w:r>
      <w:r>
        <w:tab/>
      </w:r>
      <w:r>
        <w:tab/>
      </w:r>
      <w:r>
        <w:tab/>
      </w:r>
      <w:r>
        <w:tab/>
      </w:r>
    </w:p>
    <w:p w:rsidR="00B34BEA" w:rsidRDefault="00B34BEA" w:rsidP="00B34BEA"/>
    <w:p w:rsidR="00B34BEA" w:rsidRDefault="00B34BEA" w:rsidP="00B34BEA">
      <w:r>
        <w:tab/>
      </w:r>
      <w:r>
        <w:tab/>
      </w:r>
      <w:r>
        <w:tab/>
      </w:r>
      <w:r>
        <w:tab/>
      </w:r>
      <w:r>
        <w:tab/>
      </w:r>
      <w:r>
        <w:tab/>
      </w:r>
      <w:r>
        <w:tab/>
        <w:t>Jeanne M. Medeiros, Esq.</w:t>
      </w:r>
    </w:p>
    <w:p w:rsidR="00B34BEA" w:rsidRDefault="00B34BEA" w:rsidP="00B34BEA">
      <w:r>
        <w:tab/>
      </w:r>
      <w:r>
        <w:tab/>
      </w:r>
      <w:r>
        <w:tab/>
      </w:r>
      <w:r>
        <w:tab/>
      </w:r>
      <w:r>
        <w:tab/>
      </w:r>
      <w:r>
        <w:tab/>
      </w:r>
      <w:r>
        <w:tab/>
        <w:t>Managing Attorney</w:t>
      </w:r>
    </w:p>
    <w:p w:rsidR="00B34BEA" w:rsidRDefault="00B34BEA" w:rsidP="00B34BEA"/>
    <w:p w:rsidR="00B34BEA" w:rsidRDefault="00B34BEA" w:rsidP="00B34BEA"/>
    <w:p w:rsidR="00B34BEA" w:rsidRDefault="00B34BEA" w:rsidP="003E33AA">
      <w:r>
        <w:t xml:space="preserve">Enclosures: </w:t>
      </w:r>
      <w:r>
        <w:tab/>
      </w:r>
    </w:p>
    <w:p w:rsidR="00B34BEA" w:rsidRDefault="00B34BEA" w:rsidP="00B34BEA"/>
    <w:p w:rsidR="00B34BEA" w:rsidRDefault="00B34BEA" w:rsidP="00B34BEA"/>
    <w:p w:rsidR="00B34BEA" w:rsidRPr="00B34BEA" w:rsidRDefault="00B34BEA" w:rsidP="00834DBF">
      <w:pPr>
        <w:rPr>
          <w:u w:val="single"/>
        </w:rPr>
        <w:sectPr w:rsidR="00B34BEA" w:rsidRPr="00B34BEA" w:rsidSect="007D6D85">
          <w:type w:val="continuous"/>
          <w:pgSz w:w="12240" w:h="15840"/>
          <w:pgMar w:top="1440" w:right="1440" w:bottom="1440" w:left="1440" w:header="1440" w:footer="1440" w:gutter="0"/>
          <w:cols w:space="720"/>
          <w:noEndnote/>
        </w:sectPr>
      </w:pPr>
      <w:r>
        <w:t xml:space="preserve">cc: </w:t>
      </w:r>
      <w:r w:rsidR="00834DBF">
        <w:tab/>
      </w:r>
      <w:r w:rsidR="00834DBF">
        <w:tab/>
      </w:r>
      <w:r w:rsidRPr="00040710">
        <w:rPr>
          <w:highlight w:val="black"/>
        </w:rPr>
        <w:t xml:space="preserve">Helena </w:t>
      </w:r>
      <w:proofErr w:type="spellStart"/>
      <w:r w:rsidRPr="00040710">
        <w:rPr>
          <w:highlight w:val="black"/>
        </w:rPr>
        <w:t>Arruda</w:t>
      </w:r>
      <w:proofErr w:type="spellEnd"/>
    </w:p>
    <w:p w:rsidR="00C523BB" w:rsidRDefault="00C523BB"/>
    <w:sectPr w:rsidR="00C523BB" w:rsidSect="00742A1B">
      <w:type w:val="continuous"/>
      <w:pgSz w:w="12240" w:h="15840"/>
      <w:pgMar w:top="1440" w:right="1296" w:bottom="1152" w:left="1584" w:header="720" w:footer="720" w:gutter="0"/>
      <w:paperSrc w:first="2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6BC" w:rsidRDefault="000326BC" w:rsidP="00C93C19">
      <w:r>
        <w:separator/>
      </w:r>
    </w:p>
  </w:endnote>
  <w:endnote w:type="continuationSeparator" w:id="0">
    <w:p w:rsidR="000326BC" w:rsidRDefault="000326BC" w:rsidP="00C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016319"/>
      <w:docPartObj>
        <w:docPartGallery w:val="Page Numbers (Bottom of Page)"/>
        <w:docPartUnique/>
      </w:docPartObj>
    </w:sdtPr>
    <w:sdtEndPr>
      <w:rPr>
        <w:noProof/>
      </w:rPr>
    </w:sdtEndPr>
    <w:sdtContent>
      <w:p w:rsidR="003960EB" w:rsidRDefault="003960EB">
        <w:pPr>
          <w:pStyle w:val="Footer"/>
          <w:jc w:val="center"/>
        </w:pPr>
        <w:r>
          <w:fldChar w:fldCharType="begin"/>
        </w:r>
        <w:r>
          <w:instrText xml:space="preserve"> PAGE   \* MERGEFORMAT </w:instrText>
        </w:r>
        <w:r>
          <w:fldChar w:fldCharType="separate"/>
        </w:r>
        <w:r w:rsidR="007510AF">
          <w:rPr>
            <w:noProof/>
          </w:rPr>
          <w:t>1</w:t>
        </w:r>
        <w:r>
          <w:rPr>
            <w:noProof/>
          </w:rPr>
          <w:fldChar w:fldCharType="end"/>
        </w:r>
      </w:p>
    </w:sdtContent>
  </w:sdt>
  <w:p w:rsidR="003960EB" w:rsidRDefault="00396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6BC" w:rsidRDefault="000326BC" w:rsidP="00C93C19">
      <w:r>
        <w:separator/>
      </w:r>
    </w:p>
  </w:footnote>
  <w:footnote w:type="continuationSeparator" w:id="0">
    <w:p w:rsidR="000326BC" w:rsidRDefault="000326BC" w:rsidP="00C93C19">
      <w:r>
        <w:continuationSeparator/>
      </w:r>
    </w:p>
  </w:footnote>
  <w:footnote w:id="1">
    <w:p w:rsidR="004B359E" w:rsidRDefault="004B359E">
      <w:pPr>
        <w:pStyle w:val="FootnoteText"/>
      </w:pPr>
      <w:r>
        <w:rPr>
          <w:rStyle w:val="FootnoteReference"/>
        </w:rPr>
        <w:footnoteRef/>
      </w:r>
      <w:r>
        <w:t xml:space="preserve"> </w:t>
      </w:r>
      <w:r w:rsidRPr="001345C6">
        <w:rPr>
          <w:sz w:val="24"/>
          <w:szCs w:val="24"/>
        </w:rPr>
        <w:t>The election forms are enclosed herein as Exhibit 1.</w:t>
      </w:r>
    </w:p>
  </w:footnote>
  <w:footnote w:id="2">
    <w:p w:rsidR="004B359E" w:rsidRPr="001345C6" w:rsidRDefault="004B359E">
      <w:pPr>
        <w:pStyle w:val="FootnoteText"/>
        <w:rPr>
          <w:sz w:val="24"/>
          <w:szCs w:val="24"/>
        </w:rPr>
      </w:pPr>
      <w:r>
        <w:rPr>
          <w:rStyle w:val="FootnoteReference"/>
        </w:rPr>
        <w:footnoteRef/>
      </w:r>
      <w:r>
        <w:t xml:space="preserve"> </w:t>
      </w:r>
      <w:r w:rsidRPr="001345C6">
        <w:rPr>
          <w:sz w:val="24"/>
          <w:szCs w:val="24"/>
        </w:rPr>
        <w:t xml:space="preserve">The Goodyear Tire &amp; Rubber Company Benefits Operation Decision, “Appeal for Survivor Pension Payments </w:t>
      </w:r>
      <w:proofErr w:type="gramStart"/>
      <w:r w:rsidRPr="001345C6">
        <w:rPr>
          <w:sz w:val="24"/>
          <w:szCs w:val="24"/>
        </w:rPr>
        <w:t>Under</w:t>
      </w:r>
      <w:proofErr w:type="gramEnd"/>
      <w:r w:rsidRPr="001345C6">
        <w:rPr>
          <w:sz w:val="24"/>
          <w:szCs w:val="24"/>
        </w:rPr>
        <w:t xml:space="preserve"> the Retirement Plan for Salaried Employees, July 16, 2014.</w:t>
      </w:r>
    </w:p>
  </w:footnote>
  <w:footnote w:id="3">
    <w:p w:rsidR="00B34BEA" w:rsidRPr="001345C6" w:rsidRDefault="00B34BEA">
      <w:pPr>
        <w:pStyle w:val="FootnoteText"/>
        <w:rPr>
          <w:sz w:val="24"/>
          <w:szCs w:val="24"/>
        </w:rPr>
      </w:pPr>
      <w:r w:rsidRPr="001345C6">
        <w:rPr>
          <w:rStyle w:val="FootnoteReference"/>
          <w:sz w:val="24"/>
          <w:szCs w:val="24"/>
        </w:rPr>
        <w:footnoteRef/>
      </w:r>
      <w:r w:rsidRPr="001345C6">
        <w:rPr>
          <w:sz w:val="24"/>
          <w:szCs w:val="24"/>
        </w:rPr>
        <w:t xml:space="preserve"> </w:t>
      </w:r>
      <w:r w:rsidRPr="001345C6">
        <w:rPr>
          <w:sz w:val="24"/>
          <w:szCs w:val="24"/>
          <w:u w:val="single"/>
        </w:rPr>
        <w:t>Id.</w:t>
      </w:r>
    </w:p>
  </w:footnote>
  <w:footnote w:id="4">
    <w:p w:rsidR="00B34BEA" w:rsidRPr="001345C6" w:rsidRDefault="00B34BEA">
      <w:pPr>
        <w:pStyle w:val="FootnoteText"/>
        <w:rPr>
          <w:sz w:val="24"/>
          <w:szCs w:val="24"/>
        </w:rPr>
      </w:pPr>
      <w:r w:rsidRPr="001345C6">
        <w:rPr>
          <w:rStyle w:val="FootnoteReference"/>
          <w:sz w:val="24"/>
          <w:szCs w:val="24"/>
        </w:rPr>
        <w:footnoteRef/>
      </w:r>
      <w:r w:rsidRPr="001345C6">
        <w:rPr>
          <w:sz w:val="24"/>
          <w:szCs w:val="24"/>
        </w:rPr>
        <w:t xml:space="preserve"> </w:t>
      </w:r>
      <w:r w:rsidRPr="001345C6">
        <w:rPr>
          <w:sz w:val="24"/>
          <w:szCs w:val="24"/>
          <w:u w:val="single"/>
        </w:rPr>
        <w:t>Id.</w:t>
      </w:r>
    </w:p>
  </w:footnote>
  <w:footnote w:id="5">
    <w:p w:rsidR="00B34BEA" w:rsidRDefault="00B34BEA" w:rsidP="00B34BEA">
      <w:pPr>
        <w:pStyle w:val="FootnoteText"/>
      </w:pPr>
      <w:r w:rsidRPr="001345C6">
        <w:rPr>
          <w:rStyle w:val="FootnoteReference"/>
          <w:sz w:val="24"/>
          <w:szCs w:val="24"/>
        </w:rPr>
        <w:footnoteRef/>
      </w:r>
      <w:r w:rsidRPr="001345C6">
        <w:rPr>
          <w:sz w:val="24"/>
          <w:szCs w:val="24"/>
        </w:rPr>
        <w:t xml:space="preserve"> Rev. Proc. 2013-12, Section 1.02, attached herein as Exhibit 2.</w:t>
      </w:r>
    </w:p>
  </w:footnote>
  <w:footnote w:id="6">
    <w:p w:rsidR="00B34BEA" w:rsidRPr="001345C6" w:rsidRDefault="00B34BEA">
      <w:pPr>
        <w:pStyle w:val="FootnoteText"/>
        <w:rPr>
          <w:sz w:val="24"/>
          <w:szCs w:val="24"/>
        </w:rPr>
      </w:pPr>
      <w:r>
        <w:rPr>
          <w:rStyle w:val="FootnoteReference"/>
        </w:rPr>
        <w:footnoteRef/>
      </w:r>
      <w:r>
        <w:t xml:space="preserve"> </w:t>
      </w:r>
      <w:r w:rsidRPr="001345C6">
        <w:rPr>
          <w:sz w:val="24"/>
          <w:szCs w:val="24"/>
        </w:rPr>
        <w:t>Rev. Proc. 2013-12, Section 6.02, Attached herein as Exhibit 3.</w:t>
      </w:r>
    </w:p>
  </w:footnote>
  <w:footnote w:id="7">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w:t>
      </w:r>
      <w:proofErr w:type="gramStart"/>
      <w:r w:rsidRPr="001345C6">
        <w:rPr>
          <w:sz w:val="24"/>
          <w:szCs w:val="24"/>
        </w:rPr>
        <w:t>Rev. Proc. 2013-12, Section 6.02 (1).</w:t>
      </w:r>
      <w:proofErr w:type="gramEnd"/>
    </w:p>
  </w:footnote>
  <w:footnote w:id="8">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w:t>
      </w:r>
      <w:proofErr w:type="gramStart"/>
      <w:r w:rsidRPr="001345C6">
        <w:rPr>
          <w:sz w:val="24"/>
          <w:szCs w:val="24"/>
        </w:rPr>
        <w:t>Rev. Proc. 2013-12, Section 6.02 (2).</w:t>
      </w:r>
      <w:proofErr w:type="gramEnd"/>
    </w:p>
  </w:footnote>
  <w:footnote w:id="9">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Rev. </w:t>
      </w:r>
      <w:proofErr w:type="spellStart"/>
      <w:r w:rsidRPr="001345C6">
        <w:rPr>
          <w:sz w:val="24"/>
          <w:szCs w:val="24"/>
        </w:rPr>
        <w:t>Poc</w:t>
      </w:r>
      <w:proofErr w:type="spellEnd"/>
      <w:r w:rsidRPr="001345C6">
        <w:rPr>
          <w:sz w:val="24"/>
          <w:szCs w:val="24"/>
        </w:rPr>
        <w:t xml:space="preserve">. </w:t>
      </w:r>
      <w:proofErr w:type="gramStart"/>
      <w:r w:rsidRPr="001345C6">
        <w:rPr>
          <w:sz w:val="24"/>
          <w:szCs w:val="24"/>
        </w:rPr>
        <w:t>2013-12, Section 6.06, relating to failures in distributing before the required minimum distribution date.</w:t>
      </w:r>
      <w:proofErr w:type="gramEnd"/>
      <w:r w:rsidRPr="001345C6">
        <w:rPr>
          <w:sz w:val="24"/>
          <w:szCs w:val="24"/>
        </w:rPr>
        <w:t xml:space="preserve">  </w:t>
      </w:r>
      <w:proofErr w:type="gramStart"/>
      <w:r w:rsidRPr="001345C6">
        <w:rPr>
          <w:sz w:val="24"/>
          <w:szCs w:val="24"/>
        </w:rPr>
        <w:t>Attached herein as Exhibit 4.</w:t>
      </w:r>
      <w:proofErr w:type="gramEnd"/>
    </w:p>
  </w:footnote>
  <w:footnote w:id="10">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Rev. Proc. </w:t>
      </w:r>
      <w:r w:rsidR="00E373E7">
        <w:rPr>
          <w:sz w:val="24"/>
          <w:szCs w:val="24"/>
        </w:rPr>
        <w:t xml:space="preserve">2013-12, </w:t>
      </w:r>
      <w:r w:rsidRPr="001345C6">
        <w:rPr>
          <w:sz w:val="24"/>
          <w:szCs w:val="24"/>
        </w:rPr>
        <w:t>Appendix A</w:t>
      </w:r>
      <w:r w:rsidR="00E373E7">
        <w:rPr>
          <w:sz w:val="24"/>
          <w:szCs w:val="24"/>
        </w:rPr>
        <w:t>, Paragrap</w:t>
      </w:r>
      <w:r w:rsidR="00E373E7" w:rsidRPr="001345C6">
        <w:rPr>
          <w:sz w:val="24"/>
          <w:szCs w:val="24"/>
        </w:rPr>
        <w:t>h .07</w:t>
      </w:r>
      <w:r w:rsidRPr="001345C6">
        <w:rPr>
          <w:sz w:val="24"/>
          <w:szCs w:val="24"/>
        </w:rPr>
        <w:t xml:space="preserve">.  </w:t>
      </w:r>
      <w:proofErr w:type="gramStart"/>
      <w:r w:rsidRPr="001345C6">
        <w:rPr>
          <w:sz w:val="24"/>
          <w:szCs w:val="24"/>
        </w:rPr>
        <w:t>Attached herein as Exhibit 5.</w:t>
      </w:r>
      <w:proofErr w:type="gramEnd"/>
    </w:p>
  </w:footnote>
  <w:footnote w:id="11">
    <w:p w:rsidR="00E373E7" w:rsidRDefault="00E373E7">
      <w:pPr>
        <w:pStyle w:val="FootnoteText"/>
      </w:pPr>
      <w:r>
        <w:rPr>
          <w:rStyle w:val="FootnoteReference"/>
        </w:rPr>
        <w:footnoteRef/>
      </w:r>
      <w:r>
        <w:t xml:space="preserve"> </w:t>
      </w:r>
      <w:r w:rsidRPr="00E373E7">
        <w:rPr>
          <w:sz w:val="24"/>
          <w:szCs w:val="24"/>
          <w:u w:val="single"/>
        </w:rPr>
        <w:t>Id.</w:t>
      </w:r>
      <w:r w:rsidRPr="00E373E7">
        <w:rPr>
          <w:sz w:val="24"/>
          <w:szCs w:val="24"/>
        </w:rPr>
        <w:t xml:space="preserve">  Emphasis added</w:t>
      </w:r>
      <w:r>
        <w:rPr>
          <w:sz w:val="24"/>
          <w:szCs w:val="24"/>
        </w:rPr>
        <w:t>.</w:t>
      </w:r>
    </w:p>
  </w:footnote>
  <w:footnote w:id="12">
    <w:p w:rsidR="00E373E7" w:rsidRDefault="00E373E7">
      <w:pPr>
        <w:pStyle w:val="FootnoteText"/>
      </w:pPr>
      <w:r>
        <w:rPr>
          <w:rStyle w:val="FootnoteReference"/>
        </w:rPr>
        <w:footnoteRef/>
      </w:r>
      <w:r>
        <w:t xml:space="preserve"> </w:t>
      </w:r>
      <w:r w:rsidRPr="00E373E7">
        <w:rPr>
          <w:sz w:val="24"/>
          <w:szCs w:val="24"/>
          <w:u w:val="single"/>
        </w:rPr>
        <w:t>Id.</w:t>
      </w:r>
    </w:p>
  </w:footnote>
  <w:footnote w:id="13">
    <w:p w:rsidR="00FD36C8" w:rsidRPr="001345C6" w:rsidRDefault="00FD36C8">
      <w:pPr>
        <w:pStyle w:val="FootnoteText"/>
        <w:rPr>
          <w:sz w:val="24"/>
          <w:szCs w:val="24"/>
        </w:rPr>
      </w:pPr>
      <w:r w:rsidRPr="001345C6">
        <w:rPr>
          <w:rStyle w:val="FootnoteReference"/>
          <w:sz w:val="24"/>
          <w:szCs w:val="24"/>
        </w:rPr>
        <w:footnoteRef/>
      </w:r>
      <w:r w:rsidRPr="001345C6">
        <w:rPr>
          <w:sz w:val="24"/>
          <w:szCs w:val="24"/>
        </w:rPr>
        <w:t xml:space="preserve"> </w:t>
      </w:r>
      <w:proofErr w:type="gramStart"/>
      <w:r w:rsidRPr="001345C6">
        <w:rPr>
          <w:i/>
          <w:color w:val="000000"/>
          <w:sz w:val="24"/>
          <w:szCs w:val="24"/>
          <w:shd w:val="clear" w:color="auto" w:fill="FFFFFF"/>
        </w:rPr>
        <w:t>Hearn v. Western Conference of Teamsters Pension Trust Fund</w:t>
      </w:r>
      <w:r w:rsidRPr="001345C6">
        <w:rPr>
          <w:color w:val="000000"/>
          <w:sz w:val="24"/>
          <w:szCs w:val="24"/>
          <w:shd w:val="clear" w:color="auto" w:fill="FFFFFF"/>
        </w:rPr>
        <w:t>, 68 F.3d 301 (9th Cir. Cal. 1995).</w:t>
      </w:r>
      <w:proofErr w:type="gramEnd"/>
    </w:p>
  </w:footnote>
  <w:footnote w:id="14">
    <w:p w:rsidR="00FD36C8" w:rsidRDefault="00FD36C8">
      <w:pPr>
        <w:pStyle w:val="FootnoteText"/>
      </w:pPr>
      <w:r w:rsidRPr="001345C6">
        <w:rPr>
          <w:rStyle w:val="FootnoteReference"/>
          <w:sz w:val="24"/>
          <w:szCs w:val="24"/>
        </w:rPr>
        <w:footnoteRef/>
      </w:r>
      <w:r w:rsidRPr="001345C6">
        <w:rPr>
          <w:sz w:val="24"/>
          <w:szCs w:val="24"/>
        </w:rPr>
        <w:t xml:space="preserve"> The Goodyear Tire &amp; Rubber Company Benefits Operation Decision, “Appeal for Survivor Pension Payments Under the Retirement Plan for Salaried</w:t>
      </w:r>
      <w:r w:rsidR="00834DBF" w:rsidRPr="001345C6">
        <w:rPr>
          <w:sz w:val="24"/>
          <w:szCs w:val="24"/>
        </w:rPr>
        <w:t xml:space="preserve"> Employees,”</w:t>
      </w:r>
      <w:r w:rsidRPr="001345C6">
        <w:rPr>
          <w:sz w:val="24"/>
          <w:szCs w:val="24"/>
        </w:rPr>
        <w:t xml:space="preserve"> July 16, 2014.</w:t>
      </w:r>
    </w:p>
  </w:footnote>
  <w:footnote w:id="15">
    <w:p w:rsidR="00D25FAC" w:rsidRPr="001345C6" w:rsidRDefault="00D25FAC">
      <w:pPr>
        <w:pStyle w:val="FootnoteText"/>
        <w:rPr>
          <w:sz w:val="24"/>
          <w:szCs w:val="24"/>
        </w:rPr>
      </w:pPr>
      <w:r>
        <w:rPr>
          <w:rStyle w:val="FootnoteReference"/>
        </w:rPr>
        <w:footnoteRef/>
      </w:r>
      <w:r>
        <w:t xml:space="preserve"> </w:t>
      </w:r>
      <w:proofErr w:type="gramStart"/>
      <w:r w:rsidR="005A1278" w:rsidRPr="001345C6">
        <w:rPr>
          <w:sz w:val="24"/>
          <w:szCs w:val="24"/>
        </w:rPr>
        <w:t>68 F.3d 301 at 303.</w:t>
      </w:r>
      <w:proofErr w:type="gramEnd"/>
    </w:p>
  </w:footnote>
  <w:footnote w:id="16">
    <w:p w:rsidR="003E33AA" w:rsidRPr="001345C6" w:rsidRDefault="003E33AA">
      <w:pPr>
        <w:pStyle w:val="FootnoteText"/>
        <w:rPr>
          <w:sz w:val="24"/>
          <w:szCs w:val="24"/>
        </w:rPr>
      </w:pPr>
      <w:r w:rsidRPr="001345C6">
        <w:rPr>
          <w:rStyle w:val="FootnoteReference"/>
          <w:sz w:val="24"/>
          <w:szCs w:val="24"/>
        </w:rPr>
        <w:footnoteRef/>
      </w:r>
      <w:r w:rsidRPr="001345C6">
        <w:rPr>
          <w:sz w:val="24"/>
          <w:szCs w:val="24"/>
        </w:rPr>
        <w:t xml:space="preserve"> </w:t>
      </w:r>
      <w:r w:rsidRPr="001345C6">
        <w:rPr>
          <w:sz w:val="24"/>
          <w:szCs w:val="24"/>
          <w:u w:val="single"/>
        </w:rPr>
        <w:t>Id.</w:t>
      </w:r>
    </w:p>
  </w:footnote>
  <w:footnote w:id="17">
    <w:p w:rsidR="003E33AA" w:rsidRPr="001345C6" w:rsidRDefault="003E33AA">
      <w:pPr>
        <w:pStyle w:val="FootnoteText"/>
        <w:rPr>
          <w:sz w:val="24"/>
          <w:szCs w:val="24"/>
        </w:rPr>
      </w:pPr>
      <w:r w:rsidRPr="001345C6">
        <w:rPr>
          <w:rStyle w:val="FootnoteReference"/>
          <w:sz w:val="24"/>
          <w:szCs w:val="24"/>
        </w:rPr>
        <w:footnoteRef/>
      </w:r>
      <w:r w:rsidRPr="001345C6">
        <w:rPr>
          <w:sz w:val="24"/>
          <w:szCs w:val="24"/>
        </w:rPr>
        <w:t xml:space="preserve"> </w:t>
      </w:r>
      <w:r w:rsidRPr="001345C6">
        <w:rPr>
          <w:sz w:val="24"/>
          <w:szCs w:val="24"/>
          <w:u w:val="single"/>
        </w:rPr>
        <w:t>Id.</w:t>
      </w:r>
    </w:p>
  </w:footnote>
  <w:footnote w:id="18">
    <w:p w:rsidR="003E33AA" w:rsidRPr="003E33AA" w:rsidRDefault="003E33AA">
      <w:pPr>
        <w:pStyle w:val="FootnoteText"/>
      </w:pPr>
      <w:r w:rsidRPr="001345C6">
        <w:rPr>
          <w:rStyle w:val="FootnoteReference"/>
          <w:sz w:val="24"/>
          <w:szCs w:val="24"/>
        </w:rPr>
        <w:footnoteRef/>
      </w:r>
      <w:r w:rsidRPr="001345C6">
        <w:rPr>
          <w:sz w:val="24"/>
          <w:szCs w:val="24"/>
        </w:rPr>
        <w:t xml:space="preserve"> </w:t>
      </w:r>
      <w:r w:rsidRPr="001345C6">
        <w:rPr>
          <w:sz w:val="24"/>
          <w:szCs w:val="24"/>
          <w:u w:val="single"/>
        </w:rPr>
        <w:t>Id.</w:t>
      </w:r>
      <w:r w:rsidRPr="001345C6">
        <w:rPr>
          <w:sz w:val="24"/>
          <w:szCs w:val="24"/>
        </w:rPr>
        <w:t xml:space="preserve">  Emphasis added.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2E"/>
    <w:rsid w:val="000326BC"/>
    <w:rsid w:val="00036E49"/>
    <w:rsid w:val="00040710"/>
    <w:rsid w:val="00047171"/>
    <w:rsid w:val="00047563"/>
    <w:rsid w:val="0005114D"/>
    <w:rsid w:val="00052362"/>
    <w:rsid w:val="00070779"/>
    <w:rsid w:val="000773D8"/>
    <w:rsid w:val="000900B6"/>
    <w:rsid w:val="0009182F"/>
    <w:rsid w:val="000936AD"/>
    <w:rsid w:val="000A3CFD"/>
    <w:rsid w:val="000C39E1"/>
    <w:rsid w:val="00110AFE"/>
    <w:rsid w:val="0011536C"/>
    <w:rsid w:val="001159A9"/>
    <w:rsid w:val="00131E98"/>
    <w:rsid w:val="00133884"/>
    <w:rsid w:val="00134550"/>
    <w:rsid w:val="001345C6"/>
    <w:rsid w:val="001657B8"/>
    <w:rsid w:val="001834BE"/>
    <w:rsid w:val="001D59FF"/>
    <w:rsid w:val="001E7309"/>
    <w:rsid w:val="00203C80"/>
    <w:rsid w:val="0023323B"/>
    <w:rsid w:val="00245C74"/>
    <w:rsid w:val="00245CA2"/>
    <w:rsid w:val="00245FA0"/>
    <w:rsid w:val="00246609"/>
    <w:rsid w:val="002820C4"/>
    <w:rsid w:val="002C2BE1"/>
    <w:rsid w:val="00310846"/>
    <w:rsid w:val="00320DBB"/>
    <w:rsid w:val="00321230"/>
    <w:rsid w:val="00342D47"/>
    <w:rsid w:val="00343891"/>
    <w:rsid w:val="00344AF5"/>
    <w:rsid w:val="00345A7A"/>
    <w:rsid w:val="00350608"/>
    <w:rsid w:val="003706AA"/>
    <w:rsid w:val="003855C5"/>
    <w:rsid w:val="003960EB"/>
    <w:rsid w:val="003B0C7E"/>
    <w:rsid w:val="003C0490"/>
    <w:rsid w:val="003C26CC"/>
    <w:rsid w:val="003E33AA"/>
    <w:rsid w:val="003F231E"/>
    <w:rsid w:val="00400CD4"/>
    <w:rsid w:val="00421E95"/>
    <w:rsid w:val="00426C0F"/>
    <w:rsid w:val="0044688F"/>
    <w:rsid w:val="004641C0"/>
    <w:rsid w:val="004A2D2D"/>
    <w:rsid w:val="004A78CC"/>
    <w:rsid w:val="004B0333"/>
    <w:rsid w:val="004B359E"/>
    <w:rsid w:val="004D2483"/>
    <w:rsid w:val="004E1E75"/>
    <w:rsid w:val="004E548D"/>
    <w:rsid w:val="004E6137"/>
    <w:rsid w:val="004F26FA"/>
    <w:rsid w:val="0050579D"/>
    <w:rsid w:val="005061D2"/>
    <w:rsid w:val="00516623"/>
    <w:rsid w:val="00523186"/>
    <w:rsid w:val="00583D6A"/>
    <w:rsid w:val="0059414A"/>
    <w:rsid w:val="005A059B"/>
    <w:rsid w:val="005A1278"/>
    <w:rsid w:val="005A7078"/>
    <w:rsid w:val="005C5F55"/>
    <w:rsid w:val="005D5F23"/>
    <w:rsid w:val="005E2DD0"/>
    <w:rsid w:val="005F400D"/>
    <w:rsid w:val="005F5D78"/>
    <w:rsid w:val="00614FF1"/>
    <w:rsid w:val="00617B86"/>
    <w:rsid w:val="006571C9"/>
    <w:rsid w:val="00667509"/>
    <w:rsid w:val="006A5BFC"/>
    <w:rsid w:val="006A71D7"/>
    <w:rsid w:val="006B5A0E"/>
    <w:rsid w:val="006C59C8"/>
    <w:rsid w:val="006D41BD"/>
    <w:rsid w:val="006F4FF0"/>
    <w:rsid w:val="007115D7"/>
    <w:rsid w:val="00717AFE"/>
    <w:rsid w:val="00723AEC"/>
    <w:rsid w:val="00742A1B"/>
    <w:rsid w:val="007510AF"/>
    <w:rsid w:val="007530DA"/>
    <w:rsid w:val="00753499"/>
    <w:rsid w:val="00764A80"/>
    <w:rsid w:val="007711FB"/>
    <w:rsid w:val="0077525F"/>
    <w:rsid w:val="00780199"/>
    <w:rsid w:val="00793833"/>
    <w:rsid w:val="007B452E"/>
    <w:rsid w:val="007D6D85"/>
    <w:rsid w:val="007F0F32"/>
    <w:rsid w:val="007F67B1"/>
    <w:rsid w:val="0082758E"/>
    <w:rsid w:val="00834DBF"/>
    <w:rsid w:val="008366AB"/>
    <w:rsid w:val="00845F91"/>
    <w:rsid w:val="00850D49"/>
    <w:rsid w:val="00861DB7"/>
    <w:rsid w:val="00886066"/>
    <w:rsid w:val="008974C7"/>
    <w:rsid w:val="008C12F8"/>
    <w:rsid w:val="008C1343"/>
    <w:rsid w:val="008D6F71"/>
    <w:rsid w:val="008E1686"/>
    <w:rsid w:val="009000D1"/>
    <w:rsid w:val="00913DD8"/>
    <w:rsid w:val="00947059"/>
    <w:rsid w:val="00950F30"/>
    <w:rsid w:val="009555D0"/>
    <w:rsid w:val="00962656"/>
    <w:rsid w:val="00964556"/>
    <w:rsid w:val="00982E96"/>
    <w:rsid w:val="009904D9"/>
    <w:rsid w:val="009A371D"/>
    <w:rsid w:val="009B179E"/>
    <w:rsid w:val="009B40F1"/>
    <w:rsid w:val="009F6C7B"/>
    <w:rsid w:val="00A82D53"/>
    <w:rsid w:val="00A90386"/>
    <w:rsid w:val="00A90D92"/>
    <w:rsid w:val="00AC10FA"/>
    <w:rsid w:val="00AD51A8"/>
    <w:rsid w:val="00B021D9"/>
    <w:rsid w:val="00B23374"/>
    <w:rsid w:val="00B2378F"/>
    <w:rsid w:val="00B324DF"/>
    <w:rsid w:val="00B32BF7"/>
    <w:rsid w:val="00B34BEA"/>
    <w:rsid w:val="00B43186"/>
    <w:rsid w:val="00B44ACE"/>
    <w:rsid w:val="00B74218"/>
    <w:rsid w:val="00BA3C1D"/>
    <w:rsid w:val="00BC2F3E"/>
    <w:rsid w:val="00BC7C3D"/>
    <w:rsid w:val="00C12761"/>
    <w:rsid w:val="00C523BB"/>
    <w:rsid w:val="00C52D75"/>
    <w:rsid w:val="00C57750"/>
    <w:rsid w:val="00C6113B"/>
    <w:rsid w:val="00C7433B"/>
    <w:rsid w:val="00C749A1"/>
    <w:rsid w:val="00C93C19"/>
    <w:rsid w:val="00CA48B0"/>
    <w:rsid w:val="00CF185F"/>
    <w:rsid w:val="00CF2065"/>
    <w:rsid w:val="00D25FAC"/>
    <w:rsid w:val="00D26EB7"/>
    <w:rsid w:val="00D32783"/>
    <w:rsid w:val="00D413C2"/>
    <w:rsid w:val="00D41411"/>
    <w:rsid w:val="00D51264"/>
    <w:rsid w:val="00D861AA"/>
    <w:rsid w:val="00D86471"/>
    <w:rsid w:val="00D86E48"/>
    <w:rsid w:val="00DD4999"/>
    <w:rsid w:val="00DD5948"/>
    <w:rsid w:val="00DE285A"/>
    <w:rsid w:val="00E164D3"/>
    <w:rsid w:val="00E26B00"/>
    <w:rsid w:val="00E373E7"/>
    <w:rsid w:val="00E55F0F"/>
    <w:rsid w:val="00E6440C"/>
    <w:rsid w:val="00ED0C6C"/>
    <w:rsid w:val="00EF4E40"/>
    <w:rsid w:val="00F17A6D"/>
    <w:rsid w:val="00F3041A"/>
    <w:rsid w:val="00F316FC"/>
    <w:rsid w:val="00F35055"/>
    <w:rsid w:val="00F44F71"/>
    <w:rsid w:val="00F611D0"/>
    <w:rsid w:val="00F92AF5"/>
    <w:rsid w:val="00FB19E9"/>
    <w:rsid w:val="00FB6464"/>
    <w:rsid w:val="00FD36C8"/>
    <w:rsid w:val="00FE0E87"/>
    <w:rsid w:val="00FE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8F"/>
    <w:rPr>
      <w:sz w:val="24"/>
      <w:szCs w:val="24"/>
    </w:rPr>
  </w:style>
  <w:style w:type="paragraph" w:styleId="Heading1">
    <w:name w:val="heading 1"/>
    <w:basedOn w:val="Normal"/>
    <w:next w:val="Normal"/>
    <w:qFormat/>
    <w:rsid w:val="00B2378F"/>
    <w:pPr>
      <w:keepNext/>
      <w:jc w:val="center"/>
      <w:outlineLvl w:val="0"/>
    </w:pPr>
    <w:rPr>
      <w:u w:val="single"/>
    </w:rPr>
  </w:style>
  <w:style w:type="paragraph" w:styleId="Heading2">
    <w:name w:val="heading 2"/>
    <w:basedOn w:val="Normal"/>
    <w:next w:val="Normal"/>
    <w:qFormat/>
    <w:rsid w:val="00B2378F"/>
    <w:pPr>
      <w:keepNext/>
      <w:jc w:val="right"/>
      <w:outlineLvl w:val="1"/>
    </w:pPr>
    <w:rPr>
      <w:u w:val="single"/>
    </w:rPr>
  </w:style>
  <w:style w:type="paragraph" w:styleId="Heading3">
    <w:name w:val="heading 3"/>
    <w:basedOn w:val="Normal"/>
    <w:next w:val="Normal"/>
    <w:qFormat/>
    <w:rsid w:val="00B2378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3CFD"/>
    <w:rPr>
      <w:color w:val="0000FF" w:themeColor="hyperlink"/>
      <w:u w:val="single"/>
    </w:rPr>
  </w:style>
  <w:style w:type="paragraph" w:styleId="BalloonText">
    <w:name w:val="Balloon Text"/>
    <w:basedOn w:val="Normal"/>
    <w:link w:val="BalloonTextChar"/>
    <w:rsid w:val="00742A1B"/>
    <w:rPr>
      <w:rFonts w:ascii="Tahoma" w:hAnsi="Tahoma" w:cs="Tahoma"/>
      <w:sz w:val="16"/>
      <w:szCs w:val="16"/>
    </w:rPr>
  </w:style>
  <w:style w:type="character" w:customStyle="1" w:styleId="BalloonTextChar">
    <w:name w:val="Balloon Text Char"/>
    <w:basedOn w:val="DefaultParagraphFont"/>
    <w:link w:val="BalloonText"/>
    <w:rsid w:val="00742A1B"/>
    <w:rPr>
      <w:rFonts w:ascii="Tahoma" w:hAnsi="Tahoma" w:cs="Tahoma"/>
      <w:sz w:val="16"/>
      <w:szCs w:val="16"/>
    </w:rPr>
  </w:style>
  <w:style w:type="paragraph" w:styleId="FootnoteText">
    <w:name w:val="footnote text"/>
    <w:basedOn w:val="Normal"/>
    <w:link w:val="FootnoteTextChar"/>
    <w:rsid w:val="00C93C19"/>
    <w:rPr>
      <w:sz w:val="20"/>
      <w:szCs w:val="20"/>
    </w:rPr>
  </w:style>
  <w:style w:type="character" w:customStyle="1" w:styleId="FootnoteTextChar">
    <w:name w:val="Footnote Text Char"/>
    <w:basedOn w:val="DefaultParagraphFont"/>
    <w:link w:val="FootnoteText"/>
    <w:rsid w:val="00C93C19"/>
  </w:style>
  <w:style w:type="character" w:styleId="FootnoteReference">
    <w:name w:val="footnote reference"/>
    <w:basedOn w:val="DefaultParagraphFont"/>
    <w:rsid w:val="00C93C19"/>
    <w:rPr>
      <w:vertAlign w:val="superscript"/>
    </w:rPr>
  </w:style>
  <w:style w:type="paragraph" w:styleId="Header">
    <w:name w:val="header"/>
    <w:basedOn w:val="Normal"/>
    <w:link w:val="HeaderChar"/>
    <w:rsid w:val="003960EB"/>
    <w:pPr>
      <w:tabs>
        <w:tab w:val="center" w:pos="4680"/>
        <w:tab w:val="right" w:pos="9360"/>
      </w:tabs>
    </w:pPr>
  </w:style>
  <w:style w:type="character" w:customStyle="1" w:styleId="HeaderChar">
    <w:name w:val="Header Char"/>
    <w:basedOn w:val="DefaultParagraphFont"/>
    <w:link w:val="Header"/>
    <w:rsid w:val="003960EB"/>
    <w:rPr>
      <w:sz w:val="24"/>
      <w:szCs w:val="24"/>
    </w:rPr>
  </w:style>
  <w:style w:type="paragraph" w:styleId="Footer">
    <w:name w:val="footer"/>
    <w:basedOn w:val="Normal"/>
    <w:link w:val="FooterChar"/>
    <w:uiPriority w:val="99"/>
    <w:rsid w:val="003960EB"/>
    <w:pPr>
      <w:tabs>
        <w:tab w:val="center" w:pos="4680"/>
        <w:tab w:val="right" w:pos="9360"/>
      </w:tabs>
    </w:pPr>
  </w:style>
  <w:style w:type="character" w:customStyle="1" w:styleId="FooterChar">
    <w:name w:val="Footer Char"/>
    <w:basedOn w:val="DefaultParagraphFont"/>
    <w:link w:val="Footer"/>
    <w:uiPriority w:val="99"/>
    <w:rsid w:val="003960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8F"/>
    <w:rPr>
      <w:sz w:val="24"/>
      <w:szCs w:val="24"/>
    </w:rPr>
  </w:style>
  <w:style w:type="paragraph" w:styleId="Heading1">
    <w:name w:val="heading 1"/>
    <w:basedOn w:val="Normal"/>
    <w:next w:val="Normal"/>
    <w:qFormat/>
    <w:rsid w:val="00B2378F"/>
    <w:pPr>
      <w:keepNext/>
      <w:jc w:val="center"/>
      <w:outlineLvl w:val="0"/>
    </w:pPr>
    <w:rPr>
      <w:u w:val="single"/>
    </w:rPr>
  </w:style>
  <w:style w:type="paragraph" w:styleId="Heading2">
    <w:name w:val="heading 2"/>
    <w:basedOn w:val="Normal"/>
    <w:next w:val="Normal"/>
    <w:qFormat/>
    <w:rsid w:val="00B2378F"/>
    <w:pPr>
      <w:keepNext/>
      <w:jc w:val="right"/>
      <w:outlineLvl w:val="1"/>
    </w:pPr>
    <w:rPr>
      <w:u w:val="single"/>
    </w:rPr>
  </w:style>
  <w:style w:type="paragraph" w:styleId="Heading3">
    <w:name w:val="heading 3"/>
    <w:basedOn w:val="Normal"/>
    <w:next w:val="Normal"/>
    <w:qFormat/>
    <w:rsid w:val="00B2378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3CFD"/>
    <w:rPr>
      <w:color w:val="0000FF" w:themeColor="hyperlink"/>
      <w:u w:val="single"/>
    </w:rPr>
  </w:style>
  <w:style w:type="paragraph" w:styleId="BalloonText">
    <w:name w:val="Balloon Text"/>
    <w:basedOn w:val="Normal"/>
    <w:link w:val="BalloonTextChar"/>
    <w:rsid w:val="00742A1B"/>
    <w:rPr>
      <w:rFonts w:ascii="Tahoma" w:hAnsi="Tahoma" w:cs="Tahoma"/>
      <w:sz w:val="16"/>
      <w:szCs w:val="16"/>
    </w:rPr>
  </w:style>
  <w:style w:type="character" w:customStyle="1" w:styleId="BalloonTextChar">
    <w:name w:val="Balloon Text Char"/>
    <w:basedOn w:val="DefaultParagraphFont"/>
    <w:link w:val="BalloonText"/>
    <w:rsid w:val="00742A1B"/>
    <w:rPr>
      <w:rFonts w:ascii="Tahoma" w:hAnsi="Tahoma" w:cs="Tahoma"/>
      <w:sz w:val="16"/>
      <w:szCs w:val="16"/>
    </w:rPr>
  </w:style>
  <w:style w:type="paragraph" w:styleId="FootnoteText">
    <w:name w:val="footnote text"/>
    <w:basedOn w:val="Normal"/>
    <w:link w:val="FootnoteTextChar"/>
    <w:rsid w:val="00C93C19"/>
    <w:rPr>
      <w:sz w:val="20"/>
      <w:szCs w:val="20"/>
    </w:rPr>
  </w:style>
  <w:style w:type="character" w:customStyle="1" w:styleId="FootnoteTextChar">
    <w:name w:val="Footnote Text Char"/>
    <w:basedOn w:val="DefaultParagraphFont"/>
    <w:link w:val="FootnoteText"/>
    <w:rsid w:val="00C93C19"/>
  </w:style>
  <w:style w:type="character" w:styleId="FootnoteReference">
    <w:name w:val="footnote reference"/>
    <w:basedOn w:val="DefaultParagraphFont"/>
    <w:rsid w:val="00C93C19"/>
    <w:rPr>
      <w:vertAlign w:val="superscript"/>
    </w:rPr>
  </w:style>
  <w:style w:type="paragraph" w:styleId="Header">
    <w:name w:val="header"/>
    <w:basedOn w:val="Normal"/>
    <w:link w:val="HeaderChar"/>
    <w:rsid w:val="003960EB"/>
    <w:pPr>
      <w:tabs>
        <w:tab w:val="center" w:pos="4680"/>
        <w:tab w:val="right" w:pos="9360"/>
      </w:tabs>
    </w:pPr>
  </w:style>
  <w:style w:type="character" w:customStyle="1" w:styleId="HeaderChar">
    <w:name w:val="Header Char"/>
    <w:basedOn w:val="DefaultParagraphFont"/>
    <w:link w:val="Header"/>
    <w:rsid w:val="003960EB"/>
    <w:rPr>
      <w:sz w:val="24"/>
      <w:szCs w:val="24"/>
    </w:rPr>
  </w:style>
  <w:style w:type="paragraph" w:styleId="Footer">
    <w:name w:val="footer"/>
    <w:basedOn w:val="Normal"/>
    <w:link w:val="FooterChar"/>
    <w:uiPriority w:val="99"/>
    <w:rsid w:val="003960EB"/>
    <w:pPr>
      <w:tabs>
        <w:tab w:val="center" w:pos="4680"/>
        <w:tab w:val="right" w:pos="9360"/>
      </w:tabs>
    </w:pPr>
  </w:style>
  <w:style w:type="character" w:customStyle="1" w:styleId="FooterChar">
    <w:name w:val="Footer Char"/>
    <w:basedOn w:val="DefaultParagraphFont"/>
    <w:link w:val="Footer"/>
    <w:uiPriority w:val="99"/>
    <w:rsid w:val="003960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anne.medeiros@umb.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ample\My%20Documents\Matt's%20Cases\Request%20For%20Documents%20ERISA%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C0BE-C825-4A02-96CA-23CB1B4E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Documents ERISA Plan</Template>
  <TotalTime>1</TotalTime>
  <Pages>5</Pages>
  <Words>1599</Words>
  <Characters>8543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Request For Documents ERISA Plan</vt:lpstr>
    </vt:vector>
  </TitlesOfParts>
  <Company>gerontology</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Documents ERISA Plan</dc:title>
  <dc:creator>msample</dc:creator>
  <cp:lastModifiedBy>Jeanne Medeiros</cp:lastModifiedBy>
  <cp:revision>2</cp:revision>
  <cp:lastPrinted>2014-03-13T17:32:00Z</cp:lastPrinted>
  <dcterms:created xsi:type="dcterms:W3CDTF">2014-09-18T17:12:00Z</dcterms:created>
  <dcterms:modified xsi:type="dcterms:W3CDTF">2014-09-18T17:12:00Z</dcterms:modified>
</cp:coreProperties>
</file>