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0D" w:rsidRPr="00EC1DA0" w:rsidRDefault="00B1580D" w:rsidP="006F6459">
      <w:pPr>
        <w:pBdr>
          <w:bottom w:val="single" w:sz="12" w:space="1" w:color="auto"/>
        </w:pBdr>
        <w:spacing w:line="240" w:lineRule="auto"/>
        <w:rPr>
          <w:rFonts w:ascii="Georgia" w:hAnsi="Georgia" w:cs="Times New Roman"/>
          <w:sz w:val="32"/>
          <w:szCs w:val="32"/>
        </w:rPr>
      </w:pPr>
      <w:r w:rsidRPr="00EC1DA0">
        <w:rPr>
          <w:rFonts w:ascii="Georgia" w:hAnsi="Georgia" w:cs="Times New Roman"/>
          <w:b/>
          <w:sz w:val="32"/>
          <w:szCs w:val="32"/>
        </w:rPr>
        <w:t>Memorandum</w:t>
      </w:r>
    </w:p>
    <w:p w:rsidR="006F6459" w:rsidRDefault="006F6459" w:rsidP="006F6459">
      <w:pPr>
        <w:pBdr>
          <w:bottom w:val="single" w:sz="12" w:space="1" w:color="auto"/>
        </w:pBdr>
        <w:spacing w:line="240" w:lineRule="auto"/>
        <w:rPr>
          <w:rFonts w:ascii="Georgia" w:hAnsi="Georgia" w:cs="Times New Roman"/>
          <w:sz w:val="24"/>
          <w:szCs w:val="24"/>
        </w:rPr>
      </w:pPr>
      <w:r>
        <w:rPr>
          <w:rFonts w:ascii="Georgia" w:hAnsi="Georgia" w:cs="Times New Roman"/>
          <w:b/>
          <w:sz w:val="24"/>
          <w:szCs w:val="24"/>
        </w:rPr>
        <w:t>To:</w:t>
      </w:r>
      <w:r>
        <w:rPr>
          <w:rFonts w:ascii="Georgia" w:hAnsi="Georgia" w:cs="Times New Roman"/>
          <w:b/>
          <w:sz w:val="24"/>
          <w:szCs w:val="24"/>
        </w:rPr>
        <w:tab/>
      </w:r>
      <w:r>
        <w:rPr>
          <w:rFonts w:ascii="Georgia" w:hAnsi="Georgia" w:cs="Times New Roman"/>
          <w:b/>
          <w:sz w:val="24"/>
          <w:szCs w:val="24"/>
        </w:rPr>
        <w:tab/>
      </w:r>
      <w:r>
        <w:rPr>
          <w:rFonts w:ascii="Georgia" w:hAnsi="Georgia" w:cs="Times New Roman"/>
          <w:sz w:val="24"/>
          <w:szCs w:val="24"/>
        </w:rPr>
        <w:t>Gary Stone</w:t>
      </w:r>
      <w:r>
        <w:rPr>
          <w:rFonts w:ascii="Georgia" w:hAnsi="Georgia" w:cs="Times New Roman"/>
          <w:sz w:val="24"/>
          <w:szCs w:val="24"/>
        </w:rPr>
        <w:br/>
      </w:r>
      <w:r>
        <w:rPr>
          <w:rFonts w:ascii="Georgia" w:hAnsi="Georgia" w:cs="Times New Roman"/>
          <w:b/>
          <w:sz w:val="24"/>
          <w:szCs w:val="24"/>
        </w:rPr>
        <w:t>From:</w:t>
      </w:r>
      <w:r>
        <w:rPr>
          <w:rFonts w:ascii="Georgia" w:hAnsi="Georgia" w:cs="Times New Roman"/>
          <w:b/>
          <w:sz w:val="24"/>
          <w:szCs w:val="24"/>
        </w:rPr>
        <w:tab/>
      </w:r>
      <w:r>
        <w:rPr>
          <w:rFonts w:ascii="Georgia" w:hAnsi="Georgia" w:cs="Times New Roman"/>
          <w:sz w:val="24"/>
          <w:szCs w:val="24"/>
        </w:rPr>
        <w:t>Ryan Gronsky</w:t>
      </w:r>
      <w:r w:rsidR="00B36526">
        <w:rPr>
          <w:rFonts w:ascii="Georgia" w:hAnsi="Georgia" w:cs="Times New Roman"/>
          <w:sz w:val="24"/>
          <w:szCs w:val="24"/>
        </w:rPr>
        <w:t>, Staff Attorney, Western States Pension Assistance Project</w:t>
      </w:r>
      <w:r>
        <w:rPr>
          <w:rFonts w:ascii="Georgia" w:hAnsi="Georgia" w:cs="Times New Roman"/>
          <w:sz w:val="24"/>
          <w:szCs w:val="24"/>
        </w:rPr>
        <w:br/>
      </w:r>
      <w:r>
        <w:rPr>
          <w:rFonts w:ascii="Georgia" w:hAnsi="Georgia" w:cs="Times New Roman"/>
          <w:b/>
          <w:sz w:val="24"/>
          <w:szCs w:val="24"/>
        </w:rPr>
        <w:t>Date:</w:t>
      </w:r>
      <w:r>
        <w:rPr>
          <w:rFonts w:ascii="Georgia" w:hAnsi="Georgia" w:cs="Times New Roman"/>
          <w:b/>
          <w:sz w:val="24"/>
          <w:szCs w:val="24"/>
        </w:rPr>
        <w:tab/>
      </w:r>
      <w:r>
        <w:rPr>
          <w:rFonts w:ascii="Georgia" w:hAnsi="Georgia" w:cs="Times New Roman"/>
          <w:b/>
          <w:sz w:val="24"/>
          <w:szCs w:val="24"/>
        </w:rPr>
        <w:tab/>
      </w:r>
      <w:r>
        <w:rPr>
          <w:rFonts w:ascii="Georgia" w:hAnsi="Georgia" w:cs="Times New Roman"/>
          <w:sz w:val="24"/>
          <w:szCs w:val="24"/>
        </w:rPr>
        <w:t>12/05/2013</w:t>
      </w:r>
      <w:r>
        <w:rPr>
          <w:rFonts w:ascii="Georgia" w:hAnsi="Georgia" w:cs="Times New Roman"/>
          <w:sz w:val="24"/>
          <w:szCs w:val="24"/>
        </w:rPr>
        <w:br/>
      </w:r>
      <w:r>
        <w:rPr>
          <w:rFonts w:ascii="Georgia" w:hAnsi="Georgia" w:cs="Times New Roman"/>
          <w:b/>
          <w:sz w:val="24"/>
          <w:szCs w:val="24"/>
        </w:rPr>
        <w:t>Re:</w:t>
      </w:r>
      <w:r>
        <w:rPr>
          <w:rFonts w:ascii="Georgia" w:hAnsi="Georgia" w:cs="Times New Roman"/>
          <w:sz w:val="24"/>
          <w:szCs w:val="24"/>
        </w:rPr>
        <w:tab/>
      </w:r>
      <w:r>
        <w:rPr>
          <w:rFonts w:ascii="Georgia" w:hAnsi="Georgia" w:cs="Times New Roman"/>
          <w:sz w:val="24"/>
          <w:szCs w:val="24"/>
        </w:rPr>
        <w:tab/>
        <w:t>Overpaymen</w:t>
      </w:r>
      <w:r w:rsidR="00773DC5">
        <w:rPr>
          <w:rFonts w:ascii="Georgia" w:hAnsi="Georgia" w:cs="Times New Roman"/>
          <w:sz w:val="24"/>
          <w:szCs w:val="24"/>
        </w:rPr>
        <w:t>ts in California Public Pension Systems</w:t>
      </w:r>
    </w:p>
    <w:p w:rsidR="00EC1DA0" w:rsidRPr="006F6459" w:rsidRDefault="00EC1DA0" w:rsidP="006F6459">
      <w:pPr>
        <w:pBdr>
          <w:bottom w:val="single" w:sz="12" w:space="1" w:color="auto"/>
        </w:pBdr>
        <w:spacing w:line="240" w:lineRule="auto"/>
        <w:rPr>
          <w:rFonts w:ascii="Georgia" w:hAnsi="Georgia" w:cs="Times New Roman"/>
          <w:sz w:val="24"/>
          <w:szCs w:val="24"/>
        </w:rPr>
      </w:pPr>
    </w:p>
    <w:p w:rsidR="00430605" w:rsidRDefault="00441686" w:rsidP="006F6459">
      <w:pPr>
        <w:spacing w:line="360" w:lineRule="auto"/>
        <w:rPr>
          <w:rFonts w:ascii="Georgia" w:hAnsi="Georgia" w:cs="Times New Roman"/>
          <w:sz w:val="24"/>
          <w:szCs w:val="24"/>
        </w:rPr>
      </w:pPr>
      <w:r>
        <w:rPr>
          <w:rFonts w:ascii="Georgia" w:hAnsi="Georgia" w:cs="Times New Roman"/>
          <w:sz w:val="24"/>
          <w:szCs w:val="24"/>
        </w:rPr>
        <w:br/>
      </w:r>
      <w:r w:rsidR="006F6459">
        <w:rPr>
          <w:rFonts w:ascii="Georgia" w:hAnsi="Georgia" w:cs="Times New Roman"/>
          <w:sz w:val="24"/>
          <w:szCs w:val="24"/>
        </w:rPr>
        <w:t xml:space="preserve">Gary, you </w:t>
      </w:r>
      <w:r w:rsidR="00216970">
        <w:rPr>
          <w:rFonts w:ascii="Georgia" w:hAnsi="Georgia" w:cs="Times New Roman"/>
          <w:sz w:val="24"/>
          <w:szCs w:val="24"/>
        </w:rPr>
        <w:t xml:space="preserve">asked for </w:t>
      </w:r>
      <w:r w:rsidR="006F6459">
        <w:rPr>
          <w:rFonts w:ascii="Georgia" w:hAnsi="Georgia" w:cs="Times New Roman"/>
          <w:sz w:val="24"/>
          <w:szCs w:val="24"/>
        </w:rPr>
        <w:t xml:space="preserve">our experiences with recoupment of public-sector benefits. Most California public retirement systems address this issue by statute. </w:t>
      </w:r>
      <w:r w:rsidR="00B1580D">
        <w:rPr>
          <w:rFonts w:ascii="Georgia" w:hAnsi="Georgia" w:cs="Times New Roman"/>
          <w:sz w:val="24"/>
          <w:szCs w:val="24"/>
        </w:rPr>
        <w:t xml:space="preserve">This Memorandum places particular emphasis on relevant statutory provisions, with  </w:t>
      </w:r>
      <w:r w:rsidR="00430605">
        <w:rPr>
          <w:rFonts w:ascii="Georgia" w:hAnsi="Georgia" w:cs="Times New Roman"/>
          <w:sz w:val="24"/>
          <w:szCs w:val="24"/>
        </w:rPr>
        <w:t>illustrative examples.</w:t>
      </w:r>
      <w:r w:rsidR="002C0CA3">
        <w:rPr>
          <w:rFonts w:ascii="Georgia" w:hAnsi="Georgia" w:cs="Times New Roman"/>
          <w:sz w:val="24"/>
          <w:szCs w:val="24"/>
        </w:rPr>
        <w:t xml:space="preserve"> I am also including a separate chart of “Large Public Pension Entities in California,” for your reference.</w:t>
      </w:r>
    </w:p>
    <w:p w:rsidR="004B6823" w:rsidRPr="00E95275" w:rsidRDefault="00441686" w:rsidP="006F6459">
      <w:pPr>
        <w:spacing w:line="360" w:lineRule="auto"/>
        <w:rPr>
          <w:rFonts w:ascii="Georgia" w:hAnsi="Georgia" w:cs="Times New Roman"/>
          <w:b/>
          <w:sz w:val="24"/>
          <w:szCs w:val="24"/>
        </w:rPr>
      </w:pPr>
      <w:r>
        <w:rPr>
          <w:rFonts w:ascii="Georgia" w:hAnsi="Georgia" w:cs="Times New Roman"/>
          <w:b/>
          <w:sz w:val="24"/>
          <w:szCs w:val="24"/>
        </w:rPr>
        <w:br/>
      </w:r>
      <w:r w:rsidR="004B6823" w:rsidRPr="00E95275">
        <w:rPr>
          <w:rFonts w:ascii="Georgia" w:hAnsi="Georgia" w:cs="Times New Roman"/>
          <w:b/>
          <w:sz w:val="24"/>
          <w:szCs w:val="24"/>
        </w:rPr>
        <w:t>California Public Employees’ Retirement System (CalPERS)</w:t>
      </w:r>
    </w:p>
    <w:p w:rsidR="004B6823" w:rsidRPr="00E95275" w:rsidRDefault="007D3035" w:rsidP="006F6459">
      <w:pPr>
        <w:spacing w:line="360" w:lineRule="auto"/>
        <w:rPr>
          <w:rFonts w:ascii="Georgia" w:hAnsi="Georgia" w:cs="Times New Roman"/>
          <w:sz w:val="24"/>
          <w:szCs w:val="24"/>
        </w:rPr>
      </w:pPr>
      <w:r>
        <w:rPr>
          <w:rFonts w:ascii="Georgia" w:hAnsi="Georgia" w:cs="Times New Roman"/>
          <w:sz w:val="24"/>
          <w:szCs w:val="24"/>
        </w:rPr>
        <w:t xml:space="preserve">CalPERS is </w:t>
      </w:r>
      <w:r w:rsidR="00FC0F9A" w:rsidRPr="00E95275">
        <w:rPr>
          <w:rFonts w:ascii="Georgia" w:hAnsi="Georgia" w:cs="Times New Roman"/>
          <w:sz w:val="24"/>
          <w:szCs w:val="24"/>
        </w:rPr>
        <w:t xml:space="preserve">the nation’s largest </w:t>
      </w:r>
      <w:r w:rsidR="002C0CA3">
        <w:rPr>
          <w:rFonts w:ascii="Georgia" w:hAnsi="Georgia" w:cs="Times New Roman"/>
          <w:sz w:val="24"/>
          <w:szCs w:val="24"/>
        </w:rPr>
        <w:t>public pension fund</w:t>
      </w:r>
      <w:r w:rsidR="00FC0F9A" w:rsidRPr="00E95275">
        <w:rPr>
          <w:rFonts w:ascii="Georgia" w:hAnsi="Georgia" w:cs="Times New Roman"/>
          <w:sz w:val="24"/>
          <w:szCs w:val="24"/>
        </w:rPr>
        <w:t xml:space="preserve">. </w:t>
      </w:r>
      <w:r w:rsidR="004B6823" w:rsidRPr="00E95275">
        <w:rPr>
          <w:rFonts w:ascii="Georgia" w:hAnsi="Georgia" w:cs="Times New Roman"/>
          <w:sz w:val="24"/>
          <w:szCs w:val="24"/>
        </w:rPr>
        <w:t xml:space="preserve">Lexis-Nexis releases an annual publication </w:t>
      </w:r>
      <w:r w:rsidR="00FC0F9A" w:rsidRPr="00E95275">
        <w:rPr>
          <w:rFonts w:ascii="Georgia" w:hAnsi="Georgia" w:cs="Times New Roman"/>
          <w:sz w:val="24"/>
          <w:szCs w:val="24"/>
        </w:rPr>
        <w:t>containing primary CalPERS constitutional provisions, statutes, and regulations</w:t>
      </w:r>
      <w:r w:rsidR="00FC0F9A" w:rsidRPr="00E95275">
        <w:rPr>
          <w:rStyle w:val="FootnoteReference"/>
          <w:rFonts w:ascii="Georgia" w:hAnsi="Georgia" w:cs="Times New Roman"/>
          <w:sz w:val="24"/>
          <w:szCs w:val="24"/>
        </w:rPr>
        <w:footnoteReference w:id="1"/>
      </w:r>
      <w:r w:rsidR="00FC0F9A" w:rsidRPr="00E95275">
        <w:rPr>
          <w:rFonts w:ascii="Georgia" w:hAnsi="Georgia" w:cs="Times New Roman"/>
          <w:sz w:val="24"/>
          <w:szCs w:val="24"/>
        </w:rPr>
        <w:t xml:space="preserve">. </w:t>
      </w:r>
      <w:r w:rsidR="004B6823" w:rsidRPr="00E95275">
        <w:rPr>
          <w:rFonts w:ascii="Georgia" w:hAnsi="Georgia" w:cs="Times New Roman"/>
          <w:sz w:val="24"/>
          <w:szCs w:val="24"/>
        </w:rPr>
        <w:t xml:space="preserve">  </w:t>
      </w:r>
    </w:p>
    <w:p w:rsidR="00FC0F9A" w:rsidRPr="00E95275" w:rsidRDefault="00FC0F9A" w:rsidP="006F6459">
      <w:pPr>
        <w:spacing w:line="360" w:lineRule="auto"/>
        <w:rPr>
          <w:rFonts w:ascii="Georgia" w:hAnsi="Georgia" w:cs="Times New Roman"/>
          <w:sz w:val="24"/>
          <w:szCs w:val="24"/>
        </w:rPr>
      </w:pPr>
      <w:r w:rsidRPr="00E95275">
        <w:rPr>
          <w:rFonts w:ascii="Georgia" w:hAnsi="Georgia" w:cs="Times New Roman"/>
          <w:i/>
          <w:sz w:val="24"/>
          <w:szCs w:val="24"/>
        </w:rPr>
        <w:t>Overpayments</w:t>
      </w:r>
    </w:p>
    <w:p w:rsidR="00B86E2A" w:rsidRPr="00E95275" w:rsidRDefault="00FC0F9A" w:rsidP="006F6459">
      <w:pPr>
        <w:spacing w:line="360" w:lineRule="auto"/>
        <w:rPr>
          <w:rFonts w:ascii="Georgia" w:hAnsi="Georgia" w:cs="Times New Roman"/>
          <w:sz w:val="24"/>
          <w:szCs w:val="24"/>
        </w:rPr>
      </w:pPr>
      <w:r w:rsidRPr="00E95275">
        <w:rPr>
          <w:rFonts w:ascii="Georgia" w:hAnsi="Georgia" w:cs="Times New Roman"/>
          <w:sz w:val="24"/>
          <w:szCs w:val="24"/>
        </w:rPr>
        <w:t>California Government Code § 20163 provides the method for making adjustmen</w:t>
      </w:r>
      <w:r w:rsidR="00212901" w:rsidRPr="00E95275">
        <w:rPr>
          <w:rFonts w:ascii="Georgia" w:hAnsi="Georgia" w:cs="Times New Roman"/>
          <w:sz w:val="24"/>
          <w:szCs w:val="24"/>
        </w:rPr>
        <w:t>ts in the case of overpayments. Section 20163(a) provides</w:t>
      </w:r>
      <w:r w:rsidR="00B86E2A" w:rsidRPr="00E95275">
        <w:rPr>
          <w:rFonts w:ascii="Georgia" w:hAnsi="Georgia" w:cs="Times New Roman"/>
          <w:sz w:val="24"/>
          <w:szCs w:val="24"/>
        </w:rPr>
        <w:t xml:space="preserve"> in pertinent part</w:t>
      </w:r>
      <w:r w:rsidR="00387B63">
        <w:rPr>
          <w:rFonts w:ascii="Georgia" w:hAnsi="Georgia" w:cs="Times New Roman"/>
          <w:sz w:val="24"/>
          <w:szCs w:val="24"/>
        </w:rPr>
        <w:t xml:space="preserve"> that adjustments to correct overpayments </w:t>
      </w:r>
      <w:r w:rsidR="00B1580D">
        <w:rPr>
          <w:rFonts w:ascii="Georgia" w:hAnsi="Georgia" w:cs="Times New Roman"/>
          <w:sz w:val="24"/>
          <w:szCs w:val="24"/>
        </w:rPr>
        <w:t xml:space="preserve">may be made by adjusting </w:t>
      </w:r>
      <w:r w:rsidR="00387B63">
        <w:rPr>
          <w:rFonts w:ascii="Georgia" w:hAnsi="Georgia" w:cs="Times New Roman"/>
          <w:sz w:val="24"/>
          <w:szCs w:val="24"/>
        </w:rPr>
        <w:t>the allowance so that the retired person and his or her beneficiary (if applicable) will receive the actuarial equivalent of the allowance to which the member is entitled, or by direct cash payments</w:t>
      </w:r>
      <w:r w:rsidR="00CA5614">
        <w:rPr>
          <w:rFonts w:ascii="Georgia" w:hAnsi="Georgia" w:cs="Times New Roman"/>
          <w:sz w:val="24"/>
          <w:szCs w:val="24"/>
        </w:rPr>
        <w:t>.</w:t>
      </w:r>
      <w:r w:rsidR="00212901" w:rsidRPr="00E95275">
        <w:rPr>
          <w:rFonts w:ascii="Georgia" w:hAnsi="Georgia" w:cs="Times New Roman"/>
          <w:sz w:val="24"/>
          <w:szCs w:val="24"/>
        </w:rPr>
        <w:t xml:space="preserve"> </w:t>
      </w:r>
    </w:p>
    <w:p w:rsidR="00212901" w:rsidRPr="00E95275" w:rsidRDefault="00212901" w:rsidP="006F6459">
      <w:pPr>
        <w:spacing w:line="360" w:lineRule="auto"/>
        <w:rPr>
          <w:rFonts w:ascii="Georgia" w:hAnsi="Georgia" w:cs="Times New Roman"/>
          <w:i/>
          <w:sz w:val="24"/>
          <w:szCs w:val="24"/>
        </w:rPr>
      </w:pPr>
      <w:r w:rsidRPr="00E95275">
        <w:rPr>
          <w:rFonts w:ascii="Georgia" w:hAnsi="Georgia" w:cs="Times New Roman"/>
          <w:i/>
          <w:sz w:val="24"/>
          <w:szCs w:val="24"/>
        </w:rPr>
        <w:t>Limitations</w:t>
      </w:r>
    </w:p>
    <w:p w:rsidR="00212901" w:rsidRPr="00E95275" w:rsidRDefault="00B86E2A" w:rsidP="006F6459">
      <w:pPr>
        <w:spacing w:line="360" w:lineRule="auto"/>
        <w:rPr>
          <w:rFonts w:ascii="Georgia" w:hAnsi="Georgia" w:cs="Times New Roman"/>
          <w:sz w:val="24"/>
          <w:szCs w:val="24"/>
        </w:rPr>
      </w:pPr>
      <w:r w:rsidRPr="00E95275">
        <w:rPr>
          <w:rFonts w:ascii="Georgia" w:hAnsi="Georgia" w:cs="Times New Roman"/>
          <w:sz w:val="24"/>
          <w:szCs w:val="24"/>
        </w:rPr>
        <w:t>CalPERS</w:t>
      </w:r>
      <w:r w:rsidR="002C0CA3">
        <w:rPr>
          <w:rFonts w:ascii="Georgia" w:hAnsi="Georgia" w:cs="Times New Roman"/>
          <w:sz w:val="24"/>
          <w:szCs w:val="24"/>
        </w:rPr>
        <w:t>’</w:t>
      </w:r>
      <w:r w:rsidRPr="00E95275">
        <w:rPr>
          <w:rFonts w:ascii="Georgia" w:hAnsi="Georgia" w:cs="Times New Roman"/>
          <w:sz w:val="24"/>
          <w:szCs w:val="24"/>
        </w:rPr>
        <w:t xml:space="preserve"> right to correct errors is limited by </w:t>
      </w:r>
      <w:r w:rsidR="002C0CA3">
        <w:rPr>
          <w:rFonts w:ascii="Georgia" w:hAnsi="Georgia" w:cs="Times New Roman"/>
          <w:sz w:val="24"/>
          <w:szCs w:val="24"/>
        </w:rPr>
        <w:t xml:space="preserve">California Government Code </w:t>
      </w:r>
      <w:r w:rsidRPr="00E95275">
        <w:rPr>
          <w:rFonts w:ascii="Georgia" w:hAnsi="Georgia" w:cs="Times New Roman"/>
          <w:sz w:val="24"/>
          <w:szCs w:val="24"/>
        </w:rPr>
        <w:t xml:space="preserve">§ 20164. When the error is caused by CalPERS, the right to recover an overpayment “shall expire three years from the date of payment.” Where erroneous payments were caused by a </w:t>
      </w:r>
      <w:r w:rsidRPr="00E95275">
        <w:rPr>
          <w:rFonts w:ascii="Georgia" w:hAnsi="Georgia" w:cs="Times New Roman"/>
          <w:sz w:val="24"/>
          <w:szCs w:val="24"/>
        </w:rPr>
        <w:lastRenderedPageBreak/>
        <w:t>participant’s fraud, the limitation period is 10 years and commences on the later of the date of payment or discovery of fraudulent reporting.</w:t>
      </w:r>
    </w:p>
    <w:p w:rsidR="00E95275" w:rsidRPr="00E95275" w:rsidRDefault="00B86E2A" w:rsidP="006F6459">
      <w:pPr>
        <w:spacing w:line="360" w:lineRule="auto"/>
        <w:rPr>
          <w:rFonts w:ascii="Georgia" w:hAnsi="Georgia" w:cs="Times New Roman"/>
          <w:sz w:val="24"/>
          <w:szCs w:val="24"/>
        </w:rPr>
      </w:pPr>
      <w:r w:rsidRPr="00E95275">
        <w:rPr>
          <w:rFonts w:ascii="Georgia" w:hAnsi="Georgia" w:cs="Times New Roman"/>
          <w:b/>
          <w:sz w:val="24"/>
          <w:szCs w:val="24"/>
        </w:rPr>
        <w:t>Example</w:t>
      </w:r>
      <w:r w:rsidRPr="00E95275">
        <w:rPr>
          <w:rFonts w:ascii="Georgia" w:hAnsi="Georgia" w:cs="Times New Roman"/>
          <w:sz w:val="24"/>
          <w:szCs w:val="24"/>
        </w:rPr>
        <w:t xml:space="preserve">: Participant received notification in 2012 that her CalPERS benefit would be reduced </w:t>
      </w:r>
      <w:r w:rsidR="00290D61" w:rsidRPr="00E95275">
        <w:rPr>
          <w:rFonts w:ascii="Georgia" w:hAnsi="Georgia" w:cs="Times New Roman"/>
          <w:sz w:val="24"/>
          <w:szCs w:val="24"/>
        </w:rPr>
        <w:t>by $100 per month to recoup salary advances the participant received in 2004 and 2005 from her employer. CalPERS determined the total overpayment was $8,000.00. An appeal was submitted, arguing the salary advances could not be recouped because they were not benefits paid by CalPERS, and alternatively that any possible right to recover expired in 2008. CalPERS agreed it was barred by the three-year limitation period, waived additional recoupment, and reimbursed the participant for previous deductions.</w:t>
      </w:r>
    </w:p>
    <w:p w:rsidR="00546BFB" w:rsidRPr="00E95275" w:rsidRDefault="00546BFB" w:rsidP="006F6459">
      <w:pPr>
        <w:spacing w:line="360" w:lineRule="auto"/>
        <w:rPr>
          <w:rFonts w:ascii="Georgia" w:hAnsi="Georgia" w:cs="Times New Roman"/>
          <w:b/>
          <w:sz w:val="24"/>
          <w:szCs w:val="24"/>
        </w:rPr>
      </w:pPr>
      <w:r w:rsidRPr="00E95275">
        <w:rPr>
          <w:rFonts w:ascii="Georgia" w:hAnsi="Georgia" w:cs="Times New Roman"/>
          <w:b/>
          <w:sz w:val="24"/>
          <w:szCs w:val="24"/>
        </w:rPr>
        <w:t>California State Teachers’ Retirement System (CalSTRS)</w:t>
      </w:r>
    </w:p>
    <w:p w:rsidR="00095F22" w:rsidRPr="00E95275" w:rsidRDefault="00546BFB" w:rsidP="006F6459">
      <w:pPr>
        <w:spacing w:line="360" w:lineRule="auto"/>
        <w:rPr>
          <w:rFonts w:ascii="Georgia" w:hAnsi="Georgia" w:cs="Times New Roman"/>
          <w:sz w:val="24"/>
          <w:szCs w:val="24"/>
        </w:rPr>
      </w:pPr>
      <w:r w:rsidRPr="00E95275">
        <w:rPr>
          <w:rFonts w:ascii="Georgia" w:hAnsi="Georgia" w:cs="Times New Roman"/>
          <w:sz w:val="24"/>
          <w:szCs w:val="24"/>
        </w:rPr>
        <w:t xml:space="preserve">CalSTRS </w:t>
      </w:r>
      <w:r w:rsidR="002C0CA3">
        <w:rPr>
          <w:rFonts w:ascii="Georgia" w:hAnsi="Georgia" w:cs="Times New Roman"/>
          <w:sz w:val="24"/>
          <w:szCs w:val="24"/>
        </w:rPr>
        <w:t xml:space="preserve">is the largest educator-only pension fund in the world. CalSTRS </w:t>
      </w:r>
      <w:r w:rsidRPr="00E95275">
        <w:rPr>
          <w:rFonts w:ascii="Georgia" w:hAnsi="Georgia" w:cs="Times New Roman"/>
          <w:sz w:val="24"/>
          <w:szCs w:val="24"/>
        </w:rPr>
        <w:t>provides a comprehensive reference book called “Teachers’ Retirement Law” on its website</w:t>
      </w:r>
      <w:r w:rsidR="00D70ACF" w:rsidRPr="00E95275">
        <w:rPr>
          <w:rFonts w:ascii="Georgia" w:hAnsi="Georgia" w:cs="Times New Roman"/>
          <w:sz w:val="24"/>
          <w:szCs w:val="24"/>
        </w:rPr>
        <w:t>.</w:t>
      </w:r>
      <w:r w:rsidR="00D70ACF" w:rsidRPr="00E95275">
        <w:rPr>
          <w:rStyle w:val="FootnoteReference"/>
          <w:rFonts w:ascii="Georgia" w:hAnsi="Georgia" w:cs="Times New Roman"/>
          <w:sz w:val="24"/>
          <w:szCs w:val="24"/>
        </w:rPr>
        <w:footnoteReference w:id="2"/>
      </w:r>
    </w:p>
    <w:p w:rsidR="00095F22" w:rsidRPr="00E95275" w:rsidRDefault="00FC0F9A" w:rsidP="006F6459">
      <w:pPr>
        <w:spacing w:line="360" w:lineRule="auto"/>
        <w:rPr>
          <w:rFonts w:ascii="Georgia" w:hAnsi="Georgia" w:cs="Times New Roman"/>
          <w:i/>
          <w:sz w:val="24"/>
          <w:szCs w:val="24"/>
        </w:rPr>
      </w:pPr>
      <w:r w:rsidRPr="00E95275">
        <w:rPr>
          <w:rFonts w:ascii="Georgia" w:hAnsi="Georgia" w:cs="Times New Roman"/>
          <w:i/>
          <w:sz w:val="24"/>
          <w:szCs w:val="24"/>
        </w:rPr>
        <w:t>Overpayments</w:t>
      </w:r>
    </w:p>
    <w:p w:rsidR="00095F22" w:rsidRPr="00E95275" w:rsidRDefault="00095F22" w:rsidP="006F6459">
      <w:pPr>
        <w:spacing w:line="360" w:lineRule="auto"/>
        <w:rPr>
          <w:rFonts w:ascii="Georgia" w:hAnsi="Georgia" w:cs="Times New Roman"/>
          <w:sz w:val="24"/>
          <w:szCs w:val="24"/>
        </w:rPr>
      </w:pPr>
      <w:r w:rsidRPr="00E95275">
        <w:rPr>
          <w:rFonts w:ascii="Georgia" w:hAnsi="Georgia" w:cs="Times New Roman"/>
          <w:sz w:val="24"/>
          <w:szCs w:val="24"/>
        </w:rPr>
        <w:t>CalSTRS is authorized by statute to recoup overpaid benefits, subject to certain limitations. Education Code §</w:t>
      </w:r>
      <w:r w:rsidR="007E013B" w:rsidRPr="00E95275">
        <w:rPr>
          <w:rFonts w:ascii="Georgia" w:hAnsi="Georgia" w:cs="Times New Roman"/>
          <w:sz w:val="24"/>
          <w:szCs w:val="24"/>
        </w:rPr>
        <w:t xml:space="preserve"> </w:t>
      </w:r>
      <w:r w:rsidRPr="00E95275">
        <w:rPr>
          <w:rFonts w:ascii="Georgia" w:hAnsi="Georgia" w:cs="Times New Roman"/>
          <w:sz w:val="24"/>
          <w:szCs w:val="24"/>
        </w:rPr>
        <w:t>24617 limits recoupment to 5 percent “if the overpayment was due to error by the system</w:t>
      </w:r>
      <w:r w:rsidR="00167FF7" w:rsidRPr="00E95275">
        <w:rPr>
          <w:rFonts w:ascii="Georgia" w:hAnsi="Georgia" w:cs="Times New Roman"/>
          <w:sz w:val="24"/>
          <w:szCs w:val="24"/>
        </w:rPr>
        <w:t>,</w:t>
      </w:r>
      <w:r w:rsidRPr="00E95275">
        <w:rPr>
          <w:rFonts w:ascii="Georgia" w:hAnsi="Georgia" w:cs="Times New Roman"/>
          <w:sz w:val="24"/>
          <w:szCs w:val="24"/>
        </w:rPr>
        <w:t xml:space="preserve">” and to 15 percent </w:t>
      </w:r>
      <w:r w:rsidR="00CA5614">
        <w:rPr>
          <w:rFonts w:ascii="Georgia" w:hAnsi="Georgia" w:cs="Times New Roman"/>
          <w:sz w:val="24"/>
          <w:szCs w:val="24"/>
        </w:rPr>
        <w:t>if the error was caused by “</w:t>
      </w:r>
      <w:r w:rsidRPr="00E95275">
        <w:rPr>
          <w:rFonts w:ascii="Georgia" w:hAnsi="Georgia" w:cs="Times New Roman"/>
          <w:sz w:val="24"/>
          <w:szCs w:val="24"/>
        </w:rPr>
        <w:t xml:space="preserve">inaccurate information or nonsubmission of information by the </w:t>
      </w:r>
      <w:r w:rsidR="00CA5614">
        <w:rPr>
          <w:rFonts w:ascii="Georgia" w:hAnsi="Georgia" w:cs="Times New Roman"/>
          <w:sz w:val="24"/>
          <w:szCs w:val="24"/>
        </w:rPr>
        <w:t>recipient</w:t>
      </w:r>
      <w:r w:rsidRPr="00E95275">
        <w:rPr>
          <w:rFonts w:ascii="Georgia" w:hAnsi="Georgia" w:cs="Times New Roman"/>
          <w:sz w:val="24"/>
          <w:szCs w:val="24"/>
        </w:rPr>
        <w:t>”</w:t>
      </w:r>
      <w:r w:rsidR="00CA5614">
        <w:rPr>
          <w:rFonts w:ascii="Georgia" w:hAnsi="Georgia" w:cs="Times New Roman"/>
          <w:sz w:val="24"/>
          <w:szCs w:val="24"/>
        </w:rPr>
        <w:t xml:space="preserve"> of the benefit.</w:t>
      </w:r>
      <w:r w:rsidRPr="00E95275">
        <w:rPr>
          <w:rFonts w:ascii="Georgia" w:hAnsi="Georgia" w:cs="Times New Roman"/>
          <w:sz w:val="24"/>
          <w:szCs w:val="24"/>
        </w:rPr>
        <w:t xml:space="preserve"> If the overpayment was caused by fraud or intentional misrepresentation, this section does not apply </w:t>
      </w:r>
      <w:r w:rsidR="00167FF7" w:rsidRPr="00E95275">
        <w:rPr>
          <w:rFonts w:ascii="Georgia" w:hAnsi="Georgia" w:cs="Times New Roman"/>
          <w:sz w:val="24"/>
          <w:szCs w:val="24"/>
        </w:rPr>
        <w:t>and there is no statutory limit.</w:t>
      </w:r>
    </w:p>
    <w:p w:rsidR="00095F22" w:rsidRPr="00E95275" w:rsidRDefault="00095F22" w:rsidP="006F6459">
      <w:pPr>
        <w:spacing w:line="360" w:lineRule="auto"/>
        <w:rPr>
          <w:rFonts w:ascii="Georgia" w:hAnsi="Georgia" w:cs="Times New Roman"/>
          <w:i/>
          <w:sz w:val="24"/>
          <w:szCs w:val="24"/>
        </w:rPr>
      </w:pPr>
      <w:r w:rsidRPr="00E95275">
        <w:rPr>
          <w:rFonts w:ascii="Georgia" w:hAnsi="Georgia" w:cs="Times New Roman"/>
          <w:i/>
          <w:sz w:val="24"/>
          <w:szCs w:val="24"/>
        </w:rPr>
        <w:t xml:space="preserve">Limitations </w:t>
      </w:r>
    </w:p>
    <w:p w:rsidR="007E013B" w:rsidRPr="00E95275" w:rsidRDefault="007E013B" w:rsidP="006F6459">
      <w:pPr>
        <w:spacing w:line="360" w:lineRule="auto"/>
        <w:rPr>
          <w:rFonts w:ascii="Georgia" w:hAnsi="Georgia" w:cs="Times New Roman"/>
          <w:sz w:val="24"/>
          <w:szCs w:val="24"/>
        </w:rPr>
      </w:pPr>
      <w:r w:rsidRPr="00E95275">
        <w:rPr>
          <w:rFonts w:ascii="Georgia" w:hAnsi="Georgia" w:cs="Times New Roman"/>
          <w:sz w:val="24"/>
          <w:szCs w:val="24"/>
        </w:rPr>
        <w:t>Education Code § 22008 places certain time limits on CalSTRS’ ability to recoup.</w:t>
      </w:r>
      <w:r w:rsidR="00E95275">
        <w:rPr>
          <w:rFonts w:ascii="Georgia" w:hAnsi="Georgia" w:cs="Times New Roman"/>
          <w:sz w:val="24"/>
          <w:szCs w:val="24"/>
        </w:rPr>
        <w:t xml:space="preserve"> </w:t>
      </w:r>
      <w:r w:rsidRPr="00E95275">
        <w:rPr>
          <w:rFonts w:ascii="Georgia" w:hAnsi="Georgia" w:cs="Times New Roman"/>
          <w:sz w:val="24"/>
          <w:szCs w:val="24"/>
        </w:rPr>
        <w:t xml:space="preserve">If the cause was the system’s error, “the system’s right to commence recovery shall expire three years from the date of the incorrect payment was made.” </w:t>
      </w:r>
      <w:r w:rsidR="00B1580D">
        <w:rPr>
          <w:rFonts w:ascii="Georgia" w:hAnsi="Georgia" w:cs="Times New Roman"/>
          <w:sz w:val="24"/>
          <w:szCs w:val="24"/>
        </w:rPr>
        <w:t>Similar to CalPERS, e</w:t>
      </w:r>
      <w:r w:rsidRPr="00E95275">
        <w:rPr>
          <w:rFonts w:ascii="Georgia" w:hAnsi="Georgia" w:cs="Times New Roman"/>
          <w:sz w:val="24"/>
          <w:szCs w:val="24"/>
        </w:rPr>
        <w:t>ach erroneous payment creates a new window of time for CalSTRS</w:t>
      </w:r>
      <w:r w:rsidR="00B1580D">
        <w:rPr>
          <w:rFonts w:ascii="Georgia" w:hAnsi="Georgia" w:cs="Times New Roman"/>
          <w:sz w:val="24"/>
          <w:szCs w:val="24"/>
        </w:rPr>
        <w:t xml:space="preserve">. This effectively limits </w:t>
      </w:r>
      <w:r w:rsidR="00B86E2A" w:rsidRPr="00E95275">
        <w:rPr>
          <w:rFonts w:ascii="Georgia" w:hAnsi="Georgia" w:cs="Times New Roman"/>
          <w:sz w:val="24"/>
          <w:szCs w:val="24"/>
        </w:rPr>
        <w:t xml:space="preserve">CalSTRS to a </w:t>
      </w:r>
      <w:r w:rsidRPr="00E95275">
        <w:rPr>
          <w:rFonts w:ascii="Georgia" w:hAnsi="Georgia" w:cs="Times New Roman"/>
          <w:sz w:val="24"/>
          <w:szCs w:val="24"/>
        </w:rPr>
        <w:t>reach-back period</w:t>
      </w:r>
      <w:r w:rsidR="00B86E2A" w:rsidRPr="00E95275">
        <w:rPr>
          <w:rFonts w:ascii="Georgia" w:hAnsi="Georgia" w:cs="Times New Roman"/>
          <w:sz w:val="24"/>
          <w:szCs w:val="24"/>
        </w:rPr>
        <w:t xml:space="preserve"> of three years at any given time</w:t>
      </w:r>
      <w:r w:rsidRPr="00E95275">
        <w:rPr>
          <w:rFonts w:ascii="Georgia" w:hAnsi="Georgia" w:cs="Times New Roman"/>
          <w:sz w:val="24"/>
          <w:szCs w:val="24"/>
        </w:rPr>
        <w:t xml:space="preserve">. </w:t>
      </w:r>
    </w:p>
    <w:p w:rsidR="007E013B" w:rsidRPr="00E95275" w:rsidRDefault="00B1580D" w:rsidP="006F6459">
      <w:pPr>
        <w:spacing w:line="360" w:lineRule="auto"/>
        <w:rPr>
          <w:rFonts w:ascii="Georgia" w:hAnsi="Georgia" w:cs="Times New Roman"/>
          <w:sz w:val="24"/>
          <w:szCs w:val="24"/>
        </w:rPr>
      </w:pPr>
      <w:r>
        <w:rPr>
          <w:rFonts w:ascii="Georgia" w:hAnsi="Georgia" w:cs="Times New Roman"/>
          <w:sz w:val="24"/>
          <w:szCs w:val="24"/>
        </w:rPr>
        <w:lastRenderedPageBreak/>
        <w:t>Where</w:t>
      </w:r>
      <w:r w:rsidR="007E013B" w:rsidRPr="00E95275">
        <w:rPr>
          <w:rFonts w:ascii="Georgia" w:hAnsi="Georgia" w:cs="Times New Roman"/>
          <w:sz w:val="24"/>
          <w:szCs w:val="24"/>
        </w:rPr>
        <w:t xml:space="preserve"> the cause was lack of information or inaccurate information regar</w:t>
      </w:r>
      <w:r w:rsidR="00B86E2A" w:rsidRPr="00E95275">
        <w:rPr>
          <w:rFonts w:ascii="Georgia" w:hAnsi="Georgia" w:cs="Times New Roman"/>
          <w:sz w:val="24"/>
          <w:szCs w:val="24"/>
        </w:rPr>
        <w:t>ding a recipient’s eligibility,</w:t>
      </w:r>
      <w:r>
        <w:rPr>
          <w:rFonts w:ascii="Georgia" w:hAnsi="Georgia" w:cs="Times New Roman"/>
          <w:sz w:val="24"/>
          <w:szCs w:val="24"/>
        </w:rPr>
        <w:t xml:space="preserve"> </w:t>
      </w:r>
      <w:r w:rsidR="007E013B" w:rsidRPr="00E95275">
        <w:rPr>
          <w:rFonts w:ascii="Georgia" w:hAnsi="Georgia" w:cs="Times New Roman"/>
          <w:sz w:val="24"/>
          <w:szCs w:val="24"/>
        </w:rPr>
        <w:t xml:space="preserve">the limitation period commences upon discovery of the incorrect payment. </w:t>
      </w:r>
      <w:r>
        <w:rPr>
          <w:rFonts w:ascii="Georgia" w:hAnsi="Georgia" w:cs="Times New Roman"/>
          <w:sz w:val="24"/>
          <w:szCs w:val="24"/>
        </w:rPr>
        <w:t>Under</w:t>
      </w:r>
      <w:r w:rsidR="00167FF7" w:rsidRPr="00E95275">
        <w:rPr>
          <w:rFonts w:ascii="Georgia" w:hAnsi="Georgia" w:cs="Times New Roman"/>
          <w:sz w:val="24"/>
          <w:szCs w:val="24"/>
        </w:rPr>
        <w:t xml:space="preserve"> any circumstances, if </w:t>
      </w:r>
      <w:r w:rsidR="007E013B" w:rsidRPr="00E95275">
        <w:rPr>
          <w:rFonts w:ascii="Georgia" w:hAnsi="Georgia" w:cs="Times New Roman"/>
          <w:sz w:val="24"/>
          <w:szCs w:val="24"/>
        </w:rPr>
        <w:t>fraud or intentional misrepresentation caused the overpayment, the three-year limitation period does not begin to run until the system discovers the incorrect payment.</w:t>
      </w:r>
    </w:p>
    <w:p w:rsidR="007E013B" w:rsidRPr="00E95275" w:rsidRDefault="007E013B" w:rsidP="006F6459">
      <w:pPr>
        <w:spacing w:line="360" w:lineRule="auto"/>
        <w:rPr>
          <w:rFonts w:ascii="Georgia" w:hAnsi="Georgia" w:cs="Times New Roman"/>
          <w:sz w:val="24"/>
          <w:szCs w:val="24"/>
        </w:rPr>
      </w:pPr>
      <w:r w:rsidRPr="00E95275">
        <w:rPr>
          <w:rFonts w:ascii="Georgia" w:hAnsi="Georgia" w:cs="Times New Roman"/>
          <w:b/>
          <w:sz w:val="24"/>
          <w:szCs w:val="24"/>
        </w:rPr>
        <w:t xml:space="preserve">Example: </w:t>
      </w:r>
      <w:r w:rsidRPr="00E95275">
        <w:rPr>
          <w:rFonts w:ascii="Georgia" w:hAnsi="Georgia" w:cs="Times New Roman"/>
          <w:sz w:val="24"/>
          <w:szCs w:val="24"/>
        </w:rPr>
        <w:t xml:space="preserve">Participant entered pay status in 2004. Unbeknownst to him, CalSTRS mistakenly inflated his benefit by including an incorrect value for a variable </w:t>
      </w:r>
      <w:r w:rsidR="004B4593" w:rsidRPr="00E95275">
        <w:rPr>
          <w:rFonts w:ascii="Georgia" w:hAnsi="Georgia" w:cs="Times New Roman"/>
          <w:sz w:val="24"/>
          <w:szCs w:val="24"/>
        </w:rPr>
        <w:t>in his benefit calculation</w:t>
      </w:r>
      <w:r w:rsidR="006C4EF4" w:rsidRPr="00E95275">
        <w:rPr>
          <w:rFonts w:ascii="Georgia" w:hAnsi="Georgia" w:cs="Times New Roman"/>
          <w:sz w:val="24"/>
          <w:szCs w:val="24"/>
        </w:rPr>
        <w:t>. The mistake is</w:t>
      </w:r>
      <w:r w:rsidRPr="00E95275">
        <w:rPr>
          <w:rFonts w:ascii="Georgia" w:hAnsi="Georgia" w:cs="Times New Roman"/>
          <w:sz w:val="24"/>
          <w:szCs w:val="24"/>
        </w:rPr>
        <w:t xml:space="preserve"> discovered in 2013</w:t>
      </w:r>
      <w:r w:rsidR="004B4593" w:rsidRPr="00E95275">
        <w:rPr>
          <w:rFonts w:ascii="Georgia" w:hAnsi="Georgia" w:cs="Times New Roman"/>
          <w:sz w:val="24"/>
          <w:szCs w:val="24"/>
        </w:rPr>
        <w:t>. CalSTRS determines the accumulated overpayments total $</w:t>
      </w:r>
      <w:r w:rsidR="00167FF7" w:rsidRPr="00E95275">
        <w:rPr>
          <w:rFonts w:ascii="Georgia" w:hAnsi="Georgia" w:cs="Times New Roman"/>
          <w:sz w:val="24"/>
          <w:szCs w:val="24"/>
        </w:rPr>
        <w:t>87</w:t>
      </w:r>
      <w:r w:rsidR="004B4593" w:rsidRPr="00E95275">
        <w:rPr>
          <w:rFonts w:ascii="Georgia" w:hAnsi="Georgia" w:cs="Times New Roman"/>
          <w:sz w:val="24"/>
          <w:szCs w:val="24"/>
        </w:rPr>
        <w:t>,000.00, without interest. Because the error was caused by the system, CalSTRS orders an accounting of overpayments during the last 36 months. CalSTRS determines that the participant was overpaid $28,000.00 over the last 36 months, without interest. CalSTRS then reduces the participant’s monthly benefit by 5% until the $28,000.00 is recouped.</w:t>
      </w:r>
    </w:p>
    <w:p w:rsidR="004B4593" w:rsidRPr="00E95275" w:rsidRDefault="004B4593" w:rsidP="006F6459">
      <w:pPr>
        <w:spacing w:line="360" w:lineRule="auto"/>
        <w:rPr>
          <w:rFonts w:ascii="Georgia" w:hAnsi="Georgia" w:cs="Times New Roman"/>
          <w:sz w:val="24"/>
          <w:szCs w:val="24"/>
        </w:rPr>
      </w:pPr>
      <w:r w:rsidRPr="00E95275">
        <w:rPr>
          <w:rFonts w:ascii="Georgia" w:hAnsi="Georgia" w:cs="Times New Roman"/>
          <w:b/>
          <w:sz w:val="24"/>
          <w:szCs w:val="24"/>
        </w:rPr>
        <w:t>County Employees Retirement Law of 1937 (CERL)</w:t>
      </w:r>
    </w:p>
    <w:p w:rsidR="006C4EF4" w:rsidRPr="00E95275" w:rsidRDefault="006C4EF4" w:rsidP="006F6459">
      <w:pPr>
        <w:spacing w:line="360" w:lineRule="auto"/>
        <w:rPr>
          <w:rFonts w:ascii="Georgia" w:hAnsi="Georgia" w:cs="Times New Roman"/>
          <w:sz w:val="24"/>
          <w:szCs w:val="24"/>
        </w:rPr>
      </w:pPr>
      <w:r w:rsidRPr="00E95275">
        <w:rPr>
          <w:rFonts w:ascii="Georgia" w:hAnsi="Georgia" w:cs="Times New Roman"/>
          <w:sz w:val="24"/>
          <w:szCs w:val="24"/>
        </w:rPr>
        <w:t xml:space="preserve">In general, </w:t>
      </w:r>
      <w:r w:rsidR="004B4593" w:rsidRPr="00E95275">
        <w:rPr>
          <w:rFonts w:ascii="Georgia" w:hAnsi="Georgia" w:cs="Times New Roman"/>
          <w:sz w:val="24"/>
          <w:szCs w:val="24"/>
        </w:rPr>
        <w:t>California county retirement plans are governed by CERL</w:t>
      </w:r>
      <w:r w:rsidRPr="00E95275">
        <w:rPr>
          <w:rFonts w:ascii="Georgia" w:hAnsi="Georgia" w:cs="Times New Roman"/>
          <w:sz w:val="24"/>
          <w:szCs w:val="24"/>
        </w:rPr>
        <w:t xml:space="preserve"> (Government Code §§31450-31898) and by the California Constitution, Article 16, § 17</w:t>
      </w:r>
      <w:r w:rsidR="004B4593" w:rsidRPr="00E95275">
        <w:rPr>
          <w:rFonts w:ascii="Georgia" w:hAnsi="Georgia" w:cs="Times New Roman"/>
          <w:sz w:val="24"/>
          <w:szCs w:val="24"/>
        </w:rPr>
        <w:t xml:space="preserve">. </w:t>
      </w:r>
      <w:r w:rsidRPr="00E95275">
        <w:rPr>
          <w:rFonts w:ascii="Georgia" w:hAnsi="Georgia" w:cs="Times New Roman"/>
          <w:sz w:val="24"/>
          <w:szCs w:val="24"/>
        </w:rPr>
        <w:t>CERL contains some provisions that apply to every county system, some that apply only when adopted by a given county system, and some that only apply to specified counties (</w:t>
      </w:r>
      <w:r w:rsidR="004B4593" w:rsidRPr="00E95275">
        <w:rPr>
          <w:rFonts w:ascii="Georgia" w:hAnsi="Georgia" w:cs="Times New Roman"/>
          <w:sz w:val="24"/>
          <w:szCs w:val="24"/>
        </w:rPr>
        <w:t>Los Angeles County, in particular, is bound by several section of CERL that do not apply to any other county</w:t>
      </w:r>
      <w:r w:rsidRPr="00E95275">
        <w:rPr>
          <w:rFonts w:ascii="Georgia" w:hAnsi="Georgia" w:cs="Times New Roman"/>
          <w:sz w:val="24"/>
          <w:szCs w:val="24"/>
        </w:rPr>
        <w:t>).</w:t>
      </w:r>
    </w:p>
    <w:p w:rsidR="006C4EF4" w:rsidRPr="00E95275" w:rsidRDefault="00FC0F9A" w:rsidP="006F6459">
      <w:pPr>
        <w:spacing w:line="360" w:lineRule="auto"/>
        <w:rPr>
          <w:rFonts w:ascii="Georgia" w:hAnsi="Georgia" w:cs="Times New Roman"/>
          <w:sz w:val="24"/>
          <w:szCs w:val="24"/>
        </w:rPr>
      </w:pPr>
      <w:r w:rsidRPr="00E95275">
        <w:rPr>
          <w:rFonts w:ascii="Georgia" w:hAnsi="Georgia" w:cs="Times New Roman"/>
          <w:i/>
          <w:sz w:val="24"/>
          <w:szCs w:val="24"/>
        </w:rPr>
        <w:t>Overpayments</w:t>
      </w:r>
    </w:p>
    <w:p w:rsidR="009F669A" w:rsidRPr="00E95275" w:rsidRDefault="006C4EF4" w:rsidP="006F6459">
      <w:pPr>
        <w:spacing w:line="360" w:lineRule="auto"/>
        <w:rPr>
          <w:rFonts w:ascii="Georgia" w:hAnsi="Georgia" w:cs="Times New Roman"/>
          <w:sz w:val="24"/>
          <w:szCs w:val="24"/>
        </w:rPr>
      </w:pPr>
      <w:r w:rsidRPr="00E95275">
        <w:rPr>
          <w:rFonts w:ascii="Georgia" w:hAnsi="Georgia" w:cs="Times New Roman"/>
          <w:sz w:val="24"/>
          <w:szCs w:val="24"/>
        </w:rPr>
        <w:t xml:space="preserve">Until 2004, CERL did not provide an explicit remedy for county retirement systems to correct for overpayments. </w:t>
      </w:r>
      <w:r w:rsidR="009F669A" w:rsidRPr="00E95275">
        <w:rPr>
          <w:rFonts w:ascii="Georgia" w:hAnsi="Georgia" w:cs="Times New Roman"/>
          <w:sz w:val="24"/>
          <w:szCs w:val="24"/>
        </w:rPr>
        <w:t>Because CERL was silent, county systems had to seek declaratory relief before instituting a correction</w:t>
      </w:r>
      <w:r w:rsidR="009F669A" w:rsidRPr="00E95275">
        <w:rPr>
          <w:rStyle w:val="FootnoteReference"/>
          <w:rFonts w:ascii="Georgia" w:hAnsi="Georgia" w:cs="Times New Roman"/>
          <w:sz w:val="24"/>
          <w:szCs w:val="24"/>
        </w:rPr>
        <w:footnoteReference w:id="3"/>
      </w:r>
      <w:r w:rsidR="009F669A" w:rsidRPr="00E95275">
        <w:rPr>
          <w:rFonts w:ascii="Georgia" w:hAnsi="Georgia" w:cs="Times New Roman"/>
          <w:sz w:val="24"/>
          <w:szCs w:val="24"/>
        </w:rPr>
        <w:t xml:space="preserve">. In 2004, </w:t>
      </w:r>
      <w:r w:rsidRPr="00E95275">
        <w:rPr>
          <w:rFonts w:ascii="Georgia" w:hAnsi="Georgia" w:cs="Times New Roman"/>
          <w:sz w:val="24"/>
          <w:szCs w:val="24"/>
        </w:rPr>
        <w:t>Se</w:t>
      </w:r>
      <w:r w:rsidR="009F669A" w:rsidRPr="00E95275">
        <w:rPr>
          <w:rFonts w:ascii="Georgia" w:hAnsi="Georgia" w:cs="Times New Roman"/>
          <w:sz w:val="24"/>
          <w:szCs w:val="24"/>
        </w:rPr>
        <w:t>nate Bill 1206 added § 31539 to CERL to enable collection of overpayments</w:t>
      </w:r>
      <w:r w:rsidR="00D70ACF" w:rsidRPr="00E95275">
        <w:rPr>
          <w:rFonts w:ascii="Georgia" w:hAnsi="Georgia" w:cs="Times New Roman"/>
          <w:sz w:val="24"/>
          <w:szCs w:val="24"/>
        </w:rPr>
        <w:t xml:space="preserve"> without court action</w:t>
      </w:r>
      <w:r w:rsidR="009F669A" w:rsidRPr="00E95275">
        <w:rPr>
          <w:rFonts w:ascii="Georgia" w:hAnsi="Georgia" w:cs="Times New Roman"/>
          <w:sz w:val="24"/>
          <w:szCs w:val="24"/>
        </w:rPr>
        <w:t xml:space="preserve"> in cases of fraud or misrepresentation by the participant.</w:t>
      </w:r>
    </w:p>
    <w:p w:rsidR="009F669A" w:rsidRPr="00E95275" w:rsidRDefault="00B1580D" w:rsidP="006F6459">
      <w:pPr>
        <w:spacing w:line="360" w:lineRule="auto"/>
        <w:rPr>
          <w:rFonts w:ascii="Georgia" w:hAnsi="Georgia" w:cs="Times New Roman"/>
          <w:sz w:val="24"/>
          <w:szCs w:val="24"/>
        </w:rPr>
      </w:pPr>
      <w:r>
        <w:rPr>
          <w:rFonts w:ascii="Georgia" w:hAnsi="Georgia" w:cs="Times New Roman"/>
          <w:sz w:val="24"/>
          <w:szCs w:val="24"/>
        </w:rPr>
        <w:lastRenderedPageBreak/>
        <w:t xml:space="preserve">That section does not apply when the cause if a mistake or error of the system. </w:t>
      </w:r>
      <w:r w:rsidR="009F669A" w:rsidRPr="00E95275">
        <w:rPr>
          <w:rFonts w:ascii="Georgia" w:hAnsi="Georgia" w:cs="Times New Roman"/>
          <w:sz w:val="24"/>
          <w:szCs w:val="24"/>
        </w:rPr>
        <w:t>CERL § 31539(d) explains:</w:t>
      </w:r>
    </w:p>
    <w:p w:rsidR="009F669A" w:rsidRPr="00E95275" w:rsidRDefault="009F669A" w:rsidP="00387B63">
      <w:pPr>
        <w:spacing w:line="240" w:lineRule="auto"/>
        <w:ind w:left="720"/>
        <w:rPr>
          <w:rFonts w:ascii="Georgia" w:hAnsi="Georgia" w:cs="Times New Roman"/>
          <w:sz w:val="24"/>
          <w:szCs w:val="24"/>
        </w:rPr>
      </w:pPr>
      <w:r w:rsidRPr="00E95275">
        <w:rPr>
          <w:rFonts w:ascii="Georgia" w:hAnsi="Georgia" w:cs="Times New Roman"/>
          <w:sz w:val="24"/>
          <w:szCs w:val="24"/>
        </w:rPr>
        <w:t>The rights and remedies provided in this section are in addition to any other rights and remedies any party may have at law or in equity. Nothing in this section shall preclude any party from instituting an action for declaratory or other relief in lieu of proceeding under this section.</w:t>
      </w:r>
    </w:p>
    <w:p w:rsidR="00387B63" w:rsidRDefault="00387B63" w:rsidP="00387B63">
      <w:pPr>
        <w:spacing w:line="360" w:lineRule="auto"/>
        <w:rPr>
          <w:rFonts w:ascii="Georgia" w:hAnsi="Georgia" w:cs="Times New Roman"/>
          <w:sz w:val="24"/>
          <w:szCs w:val="24"/>
        </w:rPr>
      </w:pPr>
      <w:r>
        <w:rPr>
          <w:rFonts w:ascii="Georgia" w:hAnsi="Georgia" w:cs="Times New Roman"/>
          <w:sz w:val="24"/>
          <w:szCs w:val="24"/>
        </w:rPr>
        <w:t>The result is that</w:t>
      </w:r>
      <w:r w:rsidR="004B34E8" w:rsidRPr="00E95275">
        <w:rPr>
          <w:rFonts w:ascii="Georgia" w:hAnsi="Georgia" w:cs="Times New Roman"/>
          <w:sz w:val="24"/>
          <w:szCs w:val="24"/>
        </w:rPr>
        <w:t xml:space="preserve">, in most California county retirement systems, recoupment cannot occur absent an agreement between the participant and the system or a valid court order. </w:t>
      </w:r>
    </w:p>
    <w:p w:rsidR="004B34E8" w:rsidRPr="00E95275" w:rsidRDefault="004B34E8" w:rsidP="006F6459">
      <w:pPr>
        <w:spacing w:line="360" w:lineRule="auto"/>
        <w:rPr>
          <w:rFonts w:ascii="Georgia" w:hAnsi="Georgia" w:cs="Times New Roman"/>
          <w:sz w:val="24"/>
          <w:szCs w:val="24"/>
        </w:rPr>
      </w:pPr>
      <w:r w:rsidRPr="00E95275">
        <w:rPr>
          <w:rFonts w:ascii="Georgia" w:hAnsi="Georgia" w:cs="Times New Roman"/>
          <w:i/>
          <w:sz w:val="24"/>
          <w:szCs w:val="24"/>
        </w:rPr>
        <w:t>Limitations Period</w:t>
      </w:r>
    </w:p>
    <w:p w:rsidR="00AA3BCA" w:rsidRPr="00E95275" w:rsidRDefault="004B34E8" w:rsidP="006F6459">
      <w:pPr>
        <w:spacing w:line="360" w:lineRule="auto"/>
        <w:rPr>
          <w:rFonts w:ascii="Georgia" w:hAnsi="Georgia" w:cs="Times New Roman"/>
          <w:sz w:val="24"/>
          <w:szCs w:val="24"/>
        </w:rPr>
      </w:pPr>
      <w:r w:rsidRPr="00E95275">
        <w:rPr>
          <w:rFonts w:ascii="Georgia" w:hAnsi="Georgia" w:cs="Times New Roman"/>
          <w:sz w:val="24"/>
          <w:szCs w:val="24"/>
        </w:rPr>
        <w:t xml:space="preserve">In general, CERL only limits actions connected to fraud or misrepresentation, as explained above. In those cases, the limitations period is 10 years from the date of payment or discovery of </w:t>
      </w:r>
      <w:r w:rsidR="00AA3BCA" w:rsidRPr="00E95275">
        <w:rPr>
          <w:rFonts w:ascii="Georgia" w:hAnsi="Georgia" w:cs="Times New Roman"/>
          <w:sz w:val="24"/>
          <w:szCs w:val="24"/>
        </w:rPr>
        <w:t>the fraud or misrepresentation.</w:t>
      </w:r>
    </w:p>
    <w:p w:rsidR="00B1580D" w:rsidRDefault="004B34E8" w:rsidP="006F6459">
      <w:pPr>
        <w:spacing w:line="360" w:lineRule="auto"/>
        <w:rPr>
          <w:rFonts w:ascii="Georgia" w:hAnsi="Georgia" w:cs="Times New Roman"/>
          <w:sz w:val="24"/>
          <w:szCs w:val="24"/>
        </w:rPr>
      </w:pPr>
      <w:r w:rsidRPr="00E95275">
        <w:rPr>
          <w:rFonts w:ascii="Georgia" w:hAnsi="Georgia" w:cs="Times New Roman"/>
          <w:sz w:val="24"/>
          <w:szCs w:val="24"/>
        </w:rPr>
        <w:t xml:space="preserve">In cases of mistake, California Civil Procedure </w:t>
      </w:r>
      <w:r w:rsidR="00AA3BCA" w:rsidRPr="00E95275">
        <w:rPr>
          <w:rFonts w:ascii="Georgia" w:hAnsi="Georgia" w:cs="Times New Roman"/>
          <w:sz w:val="24"/>
          <w:szCs w:val="24"/>
        </w:rPr>
        <w:t xml:space="preserve">§ 338 (d), which imposes a three-year limitation period in cases of mistake, </w:t>
      </w:r>
      <w:r w:rsidR="00AA3BCA" w:rsidRPr="00E95275">
        <w:rPr>
          <w:rFonts w:ascii="Georgia" w:hAnsi="Georgia" w:cs="Times New Roman"/>
          <w:i/>
          <w:sz w:val="24"/>
          <w:szCs w:val="24"/>
        </w:rPr>
        <w:t>may</w:t>
      </w:r>
      <w:r w:rsidR="00AA3BCA" w:rsidRPr="00E95275">
        <w:rPr>
          <w:rFonts w:ascii="Georgia" w:hAnsi="Georgia" w:cs="Times New Roman"/>
          <w:sz w:val="24"/>
          <w:szCs w:val="24"/>
        </w:rPr>
        <w:t xml:space="preserve"> prevent county systems from recouping anything at all. California case law supports allocating the burden to the system to demonstrate it was not negligent in failing to make the discovery </w:t>
      </w:r>
      <w:r w:rsidR="00D23D60" w:rsidRPr="00E95275">
        <w:rPr>
          <w:rFonts w:ascii="Georgia" w:hAnsi="Georgia" w:cs="Times New Roman"/>
          <w:sz w:val="24"/>
          <w:szCs w:val="24"/>
        </w:rPr>
        <w:t>of an error within three years and that the system had no actual or presumptive knowledge of facts to put it on inquiry</w:t>
      </w:r>
      <w:r w:rsidR="00D23D60" w:rsidRPr="00E95275">
        <w:rPr>
          <w:rStyle w:val="FootnoteReference"/>
          <w:rFonts w:ascii="Georgia" w:hAnsi="Georgia" w:cs="Times New Roman"/>
          <w:sz w:val="24"/>
          <w:szCs w:val="24"/>
        </w:rPr>
        <w:footnoteReference w:id="4"/>
      </w:r>
      <w:r w:rsidR="00D23D60" w:rsidRPr="00E95275">
        <w:rPr>
          <w:rFonts w:ascii="Georgia" w:hAnsi="Georgia" w:cs="Times New Roman"/>
          <w:sz w:val="24"/>
          <w:szCs w:val="24"/>
        </w:rPr>
        <w:t>. And, where the system possessed at all times the information which would have revealed the mistake, courts may deem the system to have had actual notice of the error</w:t>
      </w:r>
      <w:r w:rsidR="00B1580D">
        <w:rPr>
          <w:rFonts w:ascii="Georgia" w:hAnsi="Georgia" w:cs="Times New Roman"/>
          <w:sz w:val="24"/>
          <w:szCs w:val="24"/>
        </w:rPr>
        <w:t>.</w:t>
      </w:r>
      <w:r w:rsidR="00D23D60" w:rsidRPr="00E95275">
        <w:rPr>
          <w:rStyle w:val="FootnoteReference"/>
          <w:rFonts w:ascii="Georgia" w:hAnsi="Georgia" w:cs="Times New Roman"/>
          <w:sz w:val="24"/>
          <w:szCs w:val="24"/>
        </w:rPr>
        <w:footnoteReference w:id="5"/>
      </w:r>
    </w:p>
    <w:p w:rsidR="00095F22" w:rsidRPr="00E95275" w:rsidRDefault="00D23D60" w:rsidP="006F6459">
      <w:pPr>
        <w:spacing w:line="360" w:lineRule="auto"/>
        <w:rPr>
          <w:rFonts w:ascii="Georgia" w:hAnsi="Georgia" w:cs="Times New Roman"/>
          <w:sz w:val="24"/>
          <w:szCs w:val="24"/>
        </w:rPr>
      </w:pPr>
      <w:r w:rsidRPr="00E95275">
        <w:rPr>
          <w:rFonts w:ascii="Georgia" w:hAnsi="Georgia" w:cs="Times New Roman"/>
          <w:b/>
          <w:sz w:val="24"/>
          <w:szCs w:val="24"/>
        </w:rPr>
        <w:t>Example</w:t>
      </w:r>
      <w:r w:rsidR="00D70ACF" w:rsidRPr="00E95275">
        <w:rPr>
          <w:rFonts w:ascii="Georgia" w:hAnsi="Georgia" w:cs="Times New Roman"/>
          <w:b/>
          <w:sz w:val="24"/>
          <w:szCs w:val="24"/>
        </w:rPr>
        <w:t xml:space="preserve"> 1</w:t>
      </w:r>
      <w:r w:rsidRPr="00E95275">
        <w:rPr>
          <w:rFonts w:ascii="Georgia" w:hAnsi="Georgia" w:cs="Times New Roman"/>
          <w:b/>
          <w:sz w:val="24"/>
          <w:szCs w:val="24"/>
        </w:rPr>
        <w:t>:</w:t>
      </w:r>
      <w:r w:rsidRPr="00E95275">
        <w:rPr>
          <w:rFonts w:ascii="Georgia" w:hAnsi="Georgia" w:cs="Times New Roman"/>
          <w:sz w:val="24"/>
          <w:szCs w:val="24"/>
        </w:rPr>
        <w:t xml:space="preserve"> Participant began receiving retirement benefits in 2007 from a county system governed by CERL. When the participant’s benefit was calculated, the system failed to apply </w:t>
      </w:r>
      <w:r w:rsidR="00CA5614">
        <w:rPr>
          <w:rFonts w:ascii="Georgia" w:hAnsi="Georgia" w:cs="Times New Roman"/>
          <w:sz w:val="24"/>
          <w:szCs w:val="24"/>
        </w:rPr>
        <w:t xml:space="preserve">a </w:t>
      </w:r>
      <w:r w:rsidR="00D70ACF" w:rsidRPr="00E95275">
        <w:rPr>
          <w:rFonts w:ascii="Georgia" w:hAnsi="Georgia" w:cs="Times New Roman"/>
          <w:sz w:val="24"/>
          <w:szCs w:val="24"/>
        </w:rPr>
        <w:t>certain</w:t>
      </w:r>
      <w:r w:rsidRPr="00E95275">
        <w:rPr>
          <w:rFonts w:ascii="Georgia" w:hAnsi="Georgia" w:cs="Times New Roman"/>
          <w:sz w:val="24"/>
          <w:szCs w:val="24"/>
        </w:rPr>
        <w:t xml:space="preserve"> section of CERL, which caps a participant’s maximum benefit in certain circumstances. In 2012, the system noticed that it failed to follow CERL, and notified the participant of the error and reduced the participant’s benefit to the correct amount under CERL. The system further notified the participant that he was overpaid $13,000.00 since 2007, that the system was required to charge interest, and that the </w:t>
      </w:r>
      <w:r w:rsidRPr="00E95275">
        <w:rPr>
          <w:rFonts w:ascii="Georgia" w:hAnsi="Georgia" w:cs="Times New Roman"/>
          <w:sz w:val="24"/>
          <w:szCs w:val="24"/>
        </w:rPr>
        <w:lastRenderedPageBreak/>
        <w:t xml:space="preserve">system would automatically begin recouping </w:t>
      </w:r>
      <w:r w:rsidR="00616AE0" w:rsidRPr="00E95275">
        <w:rPr>
          <w:rFonts w:ascii="Georgia" w:hAnsi="Georgia" w:cs="Times New Roman"/>
          <w:sz w:val="24"/>
          <w:szCs w:val="24"/>
        </w:rPr>
        <w:t xml:space="preserve">on a 48-month repayment schedule. The system was informed that it lacked authority to recoup without a court order or an agreement, lacked the authority to charge interest, and may not prevail in court due to the nature of the error. The system agreed to waive interest, and </w:t>
      </w:r>
      <w:r w:rsidR="00B1580D">
        <w:rPr>
          <w:rFonts w:ascii="Georgia" w:hAnsi="Georgia" w:cs="Times New Roman"/>
          <w:sz w:val="24"/>
          <w:szCs w:val="24"/>
        </w:rPr>
        <w:t xml:space="preserve">to a </w:t>
      </w:r>
      <w:r w:rsidR="00616AE0" w:rsidRPr="00E95275">
        <w:rPr>
          <w:rFonts w:ascii="Georgia" w:hAnsi="Georgia" w:cs="Times New Roman"/>
          <w:sz w:val="24"/>
          <w:szCs w:val="24"/>
        </w:rPr>
        <w:t>repayment schedule determined by the participant.</w:t>
      </w:r>
    </w:p>
    <w:p w:rsidR="00D70ACF" w:rsidRPr="00E95275" w:rsidRDefault="004B6823" w:rsidP="006F6459">
      <w:pPr>
        <w:spacing w:line="360" w:lineRule="auto"/>
        <w:rPr>
          <w:rFonts w:ascii="Georgia" w:hAnsi="Georgia" w:cs="Times New Roman"/>
          <w:sz w:val="24"/>
          <w:szCs w:val="24"/>
        </w:rPr>
      </w:pPr>
      <w:r w:rsidRPr="00E95275">
        <w:rPr>
          <w:rFonts w:ascii="Georgia" w:hAnsi="Georgia" w:cs="Times New Roman"/>
          <w:b/>
          <w:sz w:val="24"/>
          <w:szCs w:val="24"/>
        </w:rPr>
        <w:t>Example 2</w:t>
      </w:r>
      <w:r w:rsidRPr="00E95275">
        <w:rPr>
          <w:rFonts w:ascii="Georgia" w:hAnsi="Georgia" w:cs="Times New Roman"/>
          <w:sz w:val="24"/>
          <w:szCs w:val="24"/>
        </w:rPr>
        <w:t xml:space="preserve">: Participant of a county retirement system was notified of an overpayment, and that court action would be sought absent an agreement to repay. The participant did not deny the overpayment. The system agreed to waive interest and recoup the overpayment at a rate based </w:t>
      </w:r>
      <w:r w:rsidR="00B1580D">
        <w:rPr>
          <w:rFonts w:ascii="Georgia" w:hAnsi="Georgia" w:cs="Times New Roman"/>
          <w:sz w:val="24"/>
          <w:szCs w:val="24"/>
        </w:rPr>
        <w:t xml:space="preserve">on the participant’s life expectancy.  </w:t>
      </w:r>
    </w:p>
    <w:sectPr w:rsidR="00D70ACF" w:rsidRPr="00E95275" w:rsidSect="00015FF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842" w:rsidRDefault="00712842" w:rsidP="006C4EF4">
      <w:pPr>
        <w:spacing w:after="0" w:line="240" w:lineRule="auto"/>
      </w:pPr>
      <w:r>
        <w:separator/>
      </w:r>
    </w:p>
  </w:endnote>
  <w:endnote w:type="continuationSeparator" w:id="0">
    <w:p w:rsidR="00712842" w:rsidRDefault="00712842" w:rsidP="006C4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842" w:rsidRDefault="00712842" w:rsidP="006C4EF4">
      <w:pPr>
        <w:spacing w:after="0" w:line="240" w:lineRule="auto"/>
      </w:pPr>
      <w:r>
        <w:separator/>
      </w:r>
    </w:p>
  </w:footnote>
  <w:footnote w:type="continuationSeparator" w:id="0">
    <w:p w:rsidR="00712842" w:rsidRDefault="00712842" w:rsidP="006C4EF4">
      <w:pPr>
        <w:spacing w:after="0" w:line="240" w:lineRule="auto"/>
      </w:pPr>
      <w:r>
        <w:continuationSeparator/>
      </w:r>
    </w:p>
  </w:footnote>
  <w:footnote w:id="1">
    <w:p w:rsidR="00FC0F9A" w:rsidRPr="00387B63" w:rsidRDefault="00FC0F9A">
      <w:pPr>
        <w:pStyle w:val="FootnoteText"/>
        <w:rPr>
          <w:rFonts w:ascii="Georgia" w:hAnsi="Georgia" w:cs="Times New Roman"/>
        </w:rPr>
      </w:pPr>
      <w:r w:rsidRPr="00387B63">
        <w:rPr>
          <w:rStyle w:val="FootnoteReference"/>
          <w:rFonts w:ascii="Georgia" w:hAnsi="Georgia" w:cs="Times New Roman"/>
        </w:rPr>
        <w:footnoteRef/>
      </w:r>
      <w:r w:rsidRPr="00387B63">
        <w:rPr>
          <w:rFonts w:ascii="Georgia" w:hAnsi="Georgia" w:cs="Times New Roman"/>
        </w:rPr>
        <w:t xml:space="preserve"> http://www.calpers.ca.gov/index.jsp?bc=/about/leg-reg-statutes/ca-public-employees-ret-law.xml</w:t>
      </w:r>
    </w:p>
  </w:footnote>
  <w:footnote w:id="2">
    <w:p w:rsidR="00D70ACF" w:rsidRPr="00387B63" w:rsidRDefault="00D70ACF">
      <w:pPr>
        <w:pStyle w:val="FootnoteText"/>
        <w:rPr>
          <w:rFonts w:ascii="Georgia" w:hAnsi="Georgia" w:cs="Times New Roman"/>
        </w:rPr>
      </w:pPr>
      <w:r w:rsidRPr="00387B63">
        <w:rPr>
          <w:rStyle w:val="FootnoteReference"/>
          <w:rFonts w:ascii="Georgia" w:hAnsi="Georgia" w:cs="Times New Roman"/>
        </w:rPr>
        <w:footnoteRef/>
      </w:r>
      <w:r w:rsidRPr="00387B63">
        <w:rPr>
          <w:rFonts w:ascii="Georgia" w:hAnsi="Georgia" w:cs="Times New Roman"/>
        </w:rPr>
        <w:t xml:space="preserve"> </w:t>
      </w:r>
      <w:hyperlink r:id="rId1" w:history="1">
        <w:r w:rsidRPr="00387B63">
          <w:rPr>
            <w:rStyle w:val="Hyperlink"/>
            <w:rFonts w:ascii="Georgia" w:hAnsi="Georgia" w:cs="Times New Roman"/>
          </w:rPr>
          <w:t>http://www.calstrs.com/information-about-calstrs</w:t>
        </w:r>
      </w:hyperlink>
    </w:p>
  </w:footnote>
  <w:footnote w:id="3">
    <w:p w:rsidR="009F669A" w:rsidRPr="00387B63" w:rsidRDefault="009F669A">
      <w:pPr>
        <w:pStyle w:val="FootnoteText"/>
        <w:rPr>
          <w:rFonts w:ascii="Georgia" w:hAnsi="Georgia" w:cs="Times New Roman"/>
        </w:rPr>
      </w:pPr>
      <w:r w:rsidRPr="00387B63">
        <w:rPr>
          <w:rStyle w:val="FootnoteReference"/>
          <w:rFonts w:ascii="Georgia" w:hAnsi="Georgia" w:cs="Times New Roman"/>
        </w:rPr>
        <w:footnoteRef/>
      </w:r>
      <w:r w:rsidRPr="00387B63">
        <w:rPr>
          <w:rFonts w:ascii="Georgia" w:hAnsi="Georgia" w:cs="Times New Roman"/>
        </w:rPr>
        <w:t xml:space="preserve"> http://leginfo.ca.gov/pub/03-04/bill/sen/sb_1201-1250/sb_1206_cfa_20040702_113737_sen_comm.html</w:t>
      </w:r>
    </w:p>
  </w:footnote>
  <w:footnote w:id="4">
    <w:p w:rsidR="00D23D60" w:rsidRPr="00387B63" w:rsidRDefault="00D23D60">
      <w:pPr>
        <w:pStyle w:val="FootnoteText"/>
        <w:rPr>
          <w:rFonts w:ascii="Georgia" w:hAnsi="Georgia" w:cs="Times New Roman"/>
        </w:rPr>
      </w:pPr>
      <w:r w:rsidRPr="00387B63">
        <w:rPr>
          <w:rStyle w:val="FootnoteReference"/>
          <w:rFonts w:ascii="Georgia" w:hAnsi="Georgia" w:cs="Times New Roman"/>
        </w:rPr>
        <w:footnoteRef/>
      </w:r>
      <w:r w:rsidRPr="00387B63">
        <w:rPr>
          <w:rFonts w:ascii="Georgia" w:hAnsi="Georgia" w:cs="Times New Roman"/>
        </w:rPr>
        <w:t xml:space="preserve"> </w:t>
      </w:r>
      <w:r w:rsidRPr="00387B63">
        <w:rPr>
          <w:rFonts w:ascii="Georgia" w:hAnsi="Georgia" w:cs="Times New Roman"/>
          <w:i/>
        </w:rPr>
        <w:t>See</w:t>
      </w:r>
      <w:r w:rsidRPr="00387B63">
        <w:rPr>
          <w:rFonts w:ascii="Georgia" w:hAnsi="Georgia" w:cs="Times New Roman"/>
        </w:rPr>
        <w:t xml:space="preserve"> </w:t>
      </w:r>
      <w:r w:rsidRPr="00387B63">
        <w:rPr>
          <w:rFonts w:ascii="Georgia" w:hAnsi="Georgia" w:cs="Times New Roman"/>
          <w:i/>
        </w:rPr>
        <w:t>Vertex Inv. Co. v. Schwabacher</w:t>
      </w:r>
      <w:r w:rsidRPr="00387B63">
        <w:rPr>
          <w:rFonts w:ascii="Georgia" w:hAnsi="Georgia" w:cs="Times New Roman"/>
        </w:rPr>
        <w:t xml:space="preserve">, (1943) 57 Cal.App.2d 406, 415; </w:t>
      </w:r>
      <w:r w:rsidRPr="00387B63">
        <w:rPr>
          <w:rFonts w:ascii="Georgia" w:hAnsi="Georgia" w:cs="Times New Roman"/>
          <w:i/>
        </w:rPr>
        <w:t xml:space="preserve">Sun N’ Sand, Inc. v. United California Bank </w:t>
      </w:r>
      <w:r w:rsidRPr="00387B63">
        <w:rPr>
          <w:rFonts w:ascii="Georgia" w:hAnsi="Georgia" w:cs="Times New Roman"/>
        </w:rPr>
        <w:t>(1978) 21 Cal.3d 671, 701</w:t>
      </w:r>
    </w:p>
  </w:footnote>
  <w:footnote w:id="5">
    <w:p w:rsidR="00D23D60" w:rsidRPr="00387B63" w:rsidRDefault="00D23D60">
      <w:pPr>
        <w:pStyle w:val="FootnoteText"/>
        <w:rPr>
          <w:rFonts w:ascii="Georgia" w:hAnsi="Georgia" w:cs="Times New Roman"/>
        </w:rPr>
      </w:pPr>
      <w:r w:rsidRPr="00387B63">
        <w:rPr>
          <w:rStyle w:val="FootnoteReference"/>
          <w:rFonts w:ascii="Georgia" w:hAnsi="Georgia" w:cs="Times New Roman"/>
        </w:rPr>
        <w:footnoteRef/>
      </w:r>
      <w:r w:rsidR="00892406">
        <w:rPr>
          <w:rFonts w:ascii="Georgia" w:hAnsi="Georgia" w:cs="Times New Roman"/>
        </w:rPr>
        <w:t xml:space="preserve"> </w:t>
      </w:r>
      <w:r w:rsidRPr="00387B63">
        <w:rPr>
          <w:rFonts w:ascii="Georgia" w:hAnsi="Georgia" w:cs="Times New Roman"/>
          <w:i/>
        </w:rPr>
        <w:t xml:space="preserve">Edgar Rice Burrough Inc. v. Commodore Productions &amp; Artists Inc </w:t>
      </w:r>
      <w:r w:rsidRPr="00387B63">
        <w:rPr>
          <w:rFonts w:ascii="Georgia" w:hAnsi="Georgia" w:cs="Times New Roman"/>
        </w:rPr>
        <w:t>(1959)</w:t>
      </w:r>
      <w:r w:rsidRPr="00387B63">
        <w:rPr>
          <w:rFonts w:ascii="Georgia" w:hAnsi="Georgia" w:cs="Times New Roman"/>
          <w:i/>
        </w:rPr>
        <w:t xml:space="preserve">, </w:t>
      </w:r>
      <w:r w:rsidRPr="00387B63">
        <w:rPr>
          <w:rFonts w:ascii="Georgia" w:hAnsi="Georgia" w:cs="Times New Roman"/>
        </w:rPr>
        <w:t>167 Cal.App 2d 463, 475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546BFB"/>
    <w:rsid w:val="00015FF9"/>
    <w:rsid w:val="00025FD8"/>
    <w:rsid w:val="00040645"/>
    <w:rsid w:val="00095F22"/>
    <w:rsid w:val="000E7F08"/>
    <w:rsid w:val="00167FF7"/>
    <w:rsid w:val="00212901"/>
    <w:rsid w:val="00216970"/>
    <w:rsid w:val="00290D61"/>
    <w:rsid w:val="002C0CA3"/>
    <w:rsid w:val="00372085"/>
    <w:rsid w:val="00387B63"/>
    <w:rsid w:val="00407FED"/>
    <w:rsid w:val="00430605"/>
    <w:rsid w:val="00441686"/>
    <w:rsid w:val="004B34E8"/>
    <w:rsid w:val="004B4593"/>
    <w:rsid w:val="004B6823"/>
    <w:rsid w:val="004E5F28"/>
    <w:rsid w:val="005056F3"/>
    <w:rsid w:val="0053717E"/>
    <w:rsid w:val="00546BFB"/>
    <w:rsid w:val="005B6A0C"/>
    <w:rsid w:val="005D09C6"/>
    <w:rsid w:val="00616AE0"/>
    <w:rsid w:val="006C4EF4"/>
    <w:rsid w:val="006F6459"/>
    <w:rsid w:val="00712842"/>
    <w:rsid w:val="00773DC5"/>
    <w:rsid w:val="007A528E"/>
    <w:rsid w:val="007D3035"/>
    <w:rsid w:val="007E013B"/>
    <w:rsid w:val="008775D4"/>
    <w:rsid w:val="00892406"/>
    <w:rsid w:val="008E7013"/>
    <w:rsid w:val="009F669A"/>
    <w:rsid w:val="00AA3BCA"/>
    <w:rsid w:val="00B1580D"/>
    <w:rsid w:val="00B36526"/>
    <w:rsid w:val="00B86E2A"/>
    <w:rsid w:val="00C87C74"/>
    <w:rsid w:val="00CA5614"/>
    <w:rsid w:val="00CD279F"/>
    <w:rsid w:val="00D23D60"/>
    <w:rsid w:val="00D60062"/>
    <w:rsid w:val="00D70ACF"/>
    <w:rsid w:val="00DC00F4"/>
    <w:rsid w:val="00E019E2"/>
    <w:rsid w:val="00E95275"/>
    <w:rsid w:val="00EC1DA0"/>
    <w:rsid w:val="00EE7EE7"/>
    <w:rsid w:val="00F11FA0"/>
    <w:rsid w:val="00F1449C"/>
    <w:rsid w:val="00F55E49"/>
    <w:rsid w:val="00FC0F9A"/>
    <w:rsid w:val="00FF0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BFB"/>
    <w:rPr>
      <w:color w:val="0000FF" w:themeColor="hyperlink"/>
      <w:u w:val="single"/>
    </w:rPr>
  </w:style>
  <w:style w:type="paragraph" w:styleId="FootnoteText">
    <w:name w:val="footnote text"/>
    <w:basedOn w:val="Normal"/>
    <w:link w:val="FootnoteTextChar"/>
    <w:uiPriority w:val="99"/>
    <w:semiHidden/>
    <w:unhideWhenUsed/>
    <w:rsid w:val="006C4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EF4"/>
    <w:rPr>
      <w:sz w:val="20"/>
      <w:szCs w:val="20"/>
    </w:rPr>
  </w:style>
  <w:style w:type="character" w:styleId="FootnoteReference">
    <w:name w:val="footnote reference"/>
    <w:basedOn w:val="DefaultParagraphFont"/>
    <w:uiPriority w:val="99"/>
    <w:semiHidden/>
    <w:unhideWhenUsed/>
    <w:rsid w:val="006C4EF4"/>
    <w:rPr>
      <w:vertAlign w:val="superscript"/>
    </w:rPr>
  </w:style>
  <w:style w:type="paragraph" w:styleId="EndnoteText">
    <w:name w:val="endnote text"/>
    <w:basedOn w:val="Normal"/>
    <w:link w:val="EndnoteTextChar"/>
    <w:uiPriority w:val="99"/>
    <w:semiHidden/>
    <w:unhideWhenUsed/>
    <w:rsid w:val="00D23D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3D60"/>
    <w:rPr>
      <w:sz w:val="20"/>
      <w:szCs w:val="20"/>
    </w:rPr>
  </w:style>
  <w:style w:type="character" w:styleId="EndnoteReference">
    <w:name w:val="endnote reference"/>
    <w:basedOn w:val="DefaultParagraphFont"/>
    <w:uiPriority w:val="99"/>
    <w:semiHidden/>
    <w:unhideWhenUsed/>
    <w:rsid w:val="00D23D60"/>
    <w:rPr>
      <w:vertAlign w:val="superscript"/>
    </w:rPr>
  </w:style>
  <w:style w:type="paragraph" w:styleId="Header">
    <w:name w:val="header"/>
    <w:basedOn w:val="Normal"/>
    <w:link w:val="HeaderChar"/>
    <w:uiPriority w:val="99"/>
    <w:semiHidden/>
    <w:unhideWhenUsed/>
    <w:rsid w:val="00387B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7B63"/>
  </w:style>
  <w:style w:type="paragraph" w:styleId="Footer">
    <w:name w:val="footer"/>
    <w:basedOn w:val="Normal"/>
    <w:link w:val="FooterChar"/>
    <w:uiPriority w:val="99"/>
    <w:semiHidden/>
    <w:unhideWhenUsed/>
    <w:rsid w:val="00387B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7B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alstrs.com/information-about-cals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BD729-A90B-4BFB-B776-F417972E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5</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rgronsky</dc:creator>
  <cp:lastModifiedBy>rgronsky</cp:lastModifiedBy>
  <cp:revision>16</cp:revision>
  <cp:lastPrinted>2013-12-19T16:49:00Z</cp:lastPrinted>
  <dcterms:created xsi:type="dcterms:W3CDTF">2013-12-05T00:16:00Z</dcterms:created>
  <dcterms:modified xsi:type="dcterms:W3CDTF">2013-12-19T16:52:00Z</dcterms:modified>
</cp:coreProperties>
</file>