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059" w:rsidRDefault="00947059">
      <w:pPr>
        <w:jc w:val="center"/>
      </w:pPr>
    </w:p>
    <w:p w:rsidR="00C523BB" w:rsidRDefault="00C523BB">
      <w:pPr>
        <w:jc w:val="center"/>
      </w:pPr>
    </w:p>
    <w:p w:rsidR="00C12761" w:rsidRDefault="006F4FF0">
      <w:pPr>
        <w:jc w:val="center"/>
      </w:pPr>
      <w:r>
        <w:tab/>
      </w:r>
      <w:r>
        <w:tab/>
      </w:r>
      <w:r>
        <w:tab/>
      </w:r>
      <w:r>
        <w:tab/>
      </w:r>
      <w:r>
        <w:tab/>
      </w:r>
      <w:r>
        <w:tab/>
      </w:r>
      <w:r w:rsidR="00684990">
        <w:t>November 13, 2014</w:t>
      </w:r>
    </w:p>
    <w:p w:rsidR="006F4FF0" w:rsidRDefault="006F4FF0">
      <w:pPr>
        <w:jc w:val="center"/>
      </w:pPr>
    </w:p>
    <w:p w:rsidR="00C523BB" w:rsidRPr="003706AA" w:rsidRDefault="00C523BB" w:rsidP="003706AA">
      <w:pPr>
        <w:ind w:left="1440" w:firstLine="720"/>
        <w:jc w:val="center"/>
        <w:rPr>
          <w:b/>
        </w:rPr>
      </w:pPr>
      <w:r w:rsidRPr="003706AA">
        <w:rPr>
          <w:b/>
        </w:rPr>
        <w:t>BY CERTIFIED MAIL; RETURN RECEIPT REQUESTED</w:t>
      </w:r>
    </w:p>
    <w:p w:rsidR="0050579D" w:rsidRDefault="0050579D"/>
    <w:p w:rsidR="0050579D" w:rsidRDefault="004E1E75">
      <w:r>
        <w:t>ERISA Appeal Committee</w:t>
      </w:r>
    </w:p>
    <w:p w:rsidR="004E1E75" w:rsidRDefault="004E1E75">
      <w:r>
        <w:t>The Goodyear Tire &amp; Rubber Company</w:t>
      </w:r>
    </w:p>
    <w:p w:rsidR="004E1E75" w:rsidRDefault="004E1E75">
      <w:r>
        <w:t>200 Innovation Way</w:t>
      </w:r>
    </w:p>
    <w:p w:rsidR="0050579D" w:rsidRDefault="0050579D">
      <w:r>
        <w:t>Akron, OH 44316-0001</w:t>
      </w:r>
    </w:p>
    <w:p w:rsidR="0050579D" w:rsidRDefault="0050579D"/>
    <w:p w:rsidR="00C523BB" w:rsidRDefault="00C523BB">
      <w:pPr>
        <w:sectPr w:rsidR="00C523BB" w:rsidSect="00421E95">
          <w:footerReference w:type="default" r:id="rId8"/>
          <w:pgSz w:w="12240" w:h="15840" w:code="1"/>
          <w:pgMar w:top="2160" w:right="1440" w:bottom="2160" w:left="1440" w:header="720" w:footer="720" w:gutter="0"/>
          <w:paperSrc w:first="269"/>
          <w:cols w:space="720"/>
          <w:docGrid w:linePitch="360"/>
        </w:sectPr>
      </w:pPr>
    </w:p>
    <w:p w:rsidR="00C523BB" w:rsidRDefault="00C523BB" w:rsidP="004F26FA">
      <w:r>
        <w:lastRenderedPageBreak/>
        <w:tab/>
        <w:t>Re:</w:t>
      </w:r>
      <w:r w:rsidR="007B452E">
        <w:tab/>
      </w:r>
      <w:r w:rsidR="004F26FA">
        <w:t xml:space="preserve">Helena </w:t>
      </w:r>
      <w:r w:rsidR="00D458E6">
        <w:t>Smith</w:t>
      </w:r>
    </w:p>
    <w:p w:rsidR="004F26FA" w:rsidRDefault="004F26FA" w:rsidP="004F26FA">
      <w:r>
        <w:tab/>
      </w:r>
      <w:r>
        <w:tab/>
      </w:r>
      <w:r w:rsidR="00D458E6">
        <w:t>____________</w:t>
      </w:r>
      <w:r>
        <w:t xml:space="preserve"> Street</w:t>
      </w:r>
    </w:p>
    <w:p w:rsidR="00C523BB" w:rsidRDefault="006C59C8">
      <w:r>
        <w:lastRenderedPageBreak/>
        <w:t>Soc. Sec.</w:t>
      </w:r>
      <w:r w:rsidR="004E6137">
        <w:t xml:space="preserve"> No.: </w:t>
      </w:r>
      <w:r w:rsidR="00203C80">
        <w:tab/>
      </w:r>
      <w:r w:rsidR="0050579D">
        <w:t>XXX-XX</w:t>
      </w:r>
      <w:r w:rsidR="004F26FA">
        <w:t>-6281</w:t>
      </w:r>
    </w:p>
    <w:p w:rsidR="00C523BB" w:rsidRDefault="004E6137">
      <w:pPr>
        <w:sectPr w:rsidR="00C523BB" w:rsidSect="00742A1B">
          <w:type w:val="continuous"/>
          <w:pgSz w:w="12240" w:h="15840"/>
          <w:pgMar w:top="1440" w:right="1296" w:bottom="1152" w:left="1584" w:header="720" w:footer="720" w:gutter="0"/>
          <w:paperSrc w:first="272"/>
          <w:cols w:num="2" w:space="720" w:equalWidth="0">
            <w:col w:w="4320" w:space="720"/>
            <w:col w:w="4320"/>
          </w:cols>
          <w:docGrid w:linePitch="360"/>
        </w:sectPr>
      </w:pPr>
      <w:r>
        <w:t>D/O/B:</w:t>
      </w:r>
      <w:r>
        <w:tab/>
        <w:t xml:space="preserve"> </w:t>
      </w:r>
      <w:r w:rsidR="00203C80">
        <w:tab/>
      </w:r>
    </w:p>
    <w:p w:rsidR="004F26FA" w:rsidRDefault="004F26FA">
      <w:r>
        <w:lastRenderedPageBreak/>
        <w:tab/>
      </w:r>
      <w:r>
        <w:tab/>
      </w:r>
      <w:r w:rsidR="00947059">
        <w:t xml:space="preserve">  </w:t>
      </w:r>
      <w:r w:rsidR="00D458E6">
        <w:t>____________</w:t>
      </w:r>
      <w:r>
        <w:t xml:space="preserve">, MA </w:t>
      </w:r>
    </w:p>
    <w:p w:rsidR="00D458E6" w:rsidRDefault="00D458E6"/>
    <w:p w:rsidR="00D458E6" w:rsidRDefault="00D458E6">
      <w:bookmarkStart w:id="0" w:name="_GoBack"/>
      <w:bookmarkEnd w:id="0"/>
    </w:p>
    <w:p w:rsidR="00684990" w:rsidRPr="007569BA" w:rsidRDefault="007569BA">
      <w:pPr>
        <w:rPr>
          <w:b/>
          <w:u w:val="single"/>
        </w:rPr>
      </w:pPr>
      <w:r w:rsidRPr="007569BA">
        <w:rPr>
          <w:b/>
          <w:u w:val="single"/>
        </w:rPr>
        <w:t>Post-Hearing Memorandum</w:t>
      </w:r>
    </w:p>
    <w:p w:rsidR="00684990" w:rsidRPr="00684990" w:rsidRDefault="00684990">
      <w:pPr>
        <w:rPr>
          <w:b/>
        </w:rPr>
      </w:pPr>
    </w:p>
    <w:p w:rsidR="00684990" w:rsidRDefault="00684990"/>
    <w:p w:rsidR="00C523BB" w:rsidRDefault="00C523BB">
      <w:r>
        <w:t xml:space="preserve">Dear </w:t>
      </w:r>
      <w:r w:rsidR="004E1E75">
        <w:t>Appeal</w:t>
      </w:r>
      <w:r w:rsidR="00684990">
        <w:t>s</w:t>
      </w:r>
      <w:r w:rsidR="004E1E75">
        <w:t xml:space="preserve"> Committee</w:t>
      </w:r>
      <w:r w:rsidR="00684990">
        <w:t>:</w:t>
      </w:r>
    </w:p>
    <w:p w:rsidR="00C523BB" w:rsidRDefault="00C523BB"/>
    <w:p w:rsidR="00A366BD" w:rsidRDefault="00A366BD" w:rsidP="00110AFE">
      <w:r>
        <w:tab/>
        <w:t xml:space="preserve">This memorandum is submitted on behalf of Ms. </w:t>
      </w:r>
      <w:r w:rsidR="00D458E6">
        <w:t>Smith</w:t>
      </w:r>
      <w:r>
        <w:t xml:space="preserve"> to clarify and delineate certain points raised during the telephone hearing of November 5, 2014.</w:t>
      </w:r>
      <w:r w:rsidR="00C523BB">
        <w:tab/>
      </w:r>
    </w:p>
    <w:p w:rsidR="00A366BD" w:rsidRDefault="00A366BD" w:rsidP="00110AFE"/>
    <w:p w:rsidR="00A366BD" w:rsidRPr="007569BA" w:rsidRDefault="00A366BD" w:rsidP="00110AFE">
      <w:pPr>
        <w:rPr>
          <w:b/>
        </w:rPr>
      </w:pPr>
      <w:r>
        <w:rPr>
          <w:b/>
        </w:rPr>
        <w:tab/>
      </w:r>
      <w:r w:rsidRPr="007569BA">
        <w:rPr>
          <w:b/>
        </w:rPr>
        <w:t>Scope of Review</w:t>
      </w:r>
    </w:p>
    <w:p w:rsidR="00A366BD" w:rsidRPr="00A366BD" w:rsidRDefault="00A366BD" w:rsidP="00110AFE">
      <w:pPr>
        <w:rPr>
          <w:b/>
          <w:u w:val="single"/>
        </w:rPr>
      </w:pPr>
    </w:p>
    <w:p w:rsidR="00A366BD" w:rsidRDefault="00A366BD" w:rsidP="00110AFE">
      <w:r>
        <w:tab/>
      </w:r>
      <w:r w:rsidR="00203C80">
        <w:t>As</w:t>
      </w:r>
      <w:r>
        <w:t xml:space="preserve"> stated in the plan’s own Appeal Exhibit 1, </w:t>
      </w:r>
      <w:r w:rsidR="00880509">
        <w:t xml:space="preserve">the issue before the Appeals Committee at its hearing on </w:t>
      </w:r>
      <w:proofErr w:type="gramStart"/>
      <w:r w:rsidR="00880509">
        <w:t>November  5</w:t>
      </w:r>
      <w:proofErr w:type="gramEnd"/>
      <w:r w:rsidR="00880509">
        <w:t xml:space="preserve">, 2014, was </w:t>
      </w:r>
      <w:r>
        <w:t>:</w:t>
      </w:r>
    </w:p>
    <w:p w:rsidR="00A366BD" w:rsidRDefault="00A366BD" w:rsidP="00110AFE"/>
    <w:p w:rsidR="00A366BD" w:rsidRPr="00A366BD" w:rsidRDefault="00A366BD" w:rsidP="00110AFE">
      <w:pPr>
        <w:rPr>
          <w:b/>
        </w:rPr>
      </w:pPr>
      <w:r>
        <w:tab/>
      </w:r>
      <w:r w:rsidR="00880509">
        <w:t>“</w:t>
      </w:r>
      <w:r w:rsidR="00880509" w:rsidRPr="00A366BD">
        <w:rPr>
          <w:b/>
        </w:rPr>
        <w:t xml:space="preserve">Should Mr. </w:t>
      </w:r>
      <w:r w:rsidR="00D458E6">
        <w:rPr>
          <w:b/>
        </w:rPr>
        <w:t>Smith</w:t>
      </w:r>
      <w:r w:rsidR="00880509" w:rsidRPr="00A366BD">
        <w:rPr>
          <w:b/>
        </w:rPr>
        <w:t>’s appeal for a survivor pension</w:t>
      </w:r>
      <w:r w:rsidRPr="00A366BD">
        <w:rPr>
          <w:b/>
        </w:rPr>
        <w:t xml:space="preserve"> be</w:t>
      </w:r>
      <w:r w:rsidR="00D070C2">
        <w:rPr>
          <w:b/>
        </w:rPr>
        <w:t xml:space="preserve"> granted without offset </w:t>
      </w:r>
      <w:r w:rsidR="00880509" w:rsidRPr="00A366BD">
        <w:rPr>
          <w:b/>
        </w:rPr>
        <w:t xml:space="preserve">for previous overpayments of pension amounts made during Mr. </w:t>
      </w:r>
      <w:r w:rsidR="00D458E6">
        <w:rPr>
          <w:b/>
        </w:rPr>
        <w:t>Smith</w:t>
      </w:r>
      <w:r w:rsidR="00880509" w:rsidRPr="00A366BD">
        <w:rPr>
          <w:b/>
        </w:rPr>
        <w:t xml:space="preserve">’s life?” </w:t>
      </w:r>
    </w:p>
    <w:p w:rsidR="00A366BD" w:rsidRPr="00A366BD" w:rsidRDefault="00A366BD" w:rsidP="00110AFE">
      <w:pPr>
        <w:rPr>
          <w:b/>
        </w:rPr>
      </w:pPr>
    </w:p>
    <w:p w:rsidR="00880509" w:rsidRDefault="00A366BD" w:rsidP="00110AFE">
      <w:r>
        <w:tab/>
      </w:r>
      <w:r w:rsidR="00880509">
        <w:t xml:space="preserve">The issue of whether the plan had complied with ERISA in the </w:t>
      </w:r>
      <w:r w:rsidR="00D458E6">
        <w:t>Smith</w:t>
      </w:r>
      <w:r w:rsidR="00880509">
        <w:t>s’ benefit election process is not before the Committee, as that issue was already determined at the initial claim level, and it was not appealed.  For this precise reason, the Appeal Exhibit 1 compiled by Goodyear, accurately characterizes the matter before the Board as a “</w:t>
      </w:r>
      <w:r w:rsidR="00880509" w:rsidRPr="00A366BD">
        <w:rPr>
          <w:b/>
        </w:rPr>
        <w:t>Partial Denial</w:t>
      </w:r>
      <w:r w:rsidR="00880509">
        <w:t xml:space="preserve"> at Review Le</w:t>
      </w:r>
      <w:r>
        <w:t>vel”</w:t>
      </w:r>
      <w:r w:rsidR="00880509">
        <w:t>, and states:</w:t>
      </w:r>
    </w:p>
    <w:p w:rsidR="00A366BD" w:rsidRDefault="00A366BD" w:rsidP="00110AFE"/>
    <w:p w:rsidR="00880509" w:rsidRDefault="00880509" w:rsidP="00110AFE">
      <w:r>
        <w:tab/>
        <w:t xml:space="preserve">After researching Ms. </w:t>
      </w:r>
      <w:r w:rsidR="00D458E6">
        <w:t>Smith</w:t>
      </w:r>
      <w:r>
        <w:t xml:space="preserve">’s request and considering the facts and finding certain files </w:t>
      </w:r>
      <w:r>
        <w:tab/>
        <w:t xml:space="preserve">could not be found to support the Pension department’s position that procedures and </w:t>
      </w:r>
      <w:r>
        <w:tab/>
        <w:t xml:space="preserve">policies were followed regarding delivery of certain forms and documents, the Benefits </w:t>
      </w:r>
      <w:r w:rsidR="00A366BD">
        <w:tab/>
      </w:r>
      <w:r>
        <w:t xml:space="preserve">review Committee determined that Ms. </w:t>
      </w:r>
      <w:r w:rsidR="00D458E6">
        <w:t>Smith</w:t>
      </w:r>
      <w:r>
        <w:t xml:space="preserve"> should be allowed the 50% Joint and </w:t>
      </w:r>
      <w:r w:rsidR="00A366BD">
        <w:lastRenderedPageBreak/>
        <w:tab/>
      </w:r>
      <w:proofErr w:type="gramStart"/>
      <w:r>
        <w:t>Survivor  (</w:t>
      </w:r>
      <w:proofErr w:type="gramEnd"/>
      <w:r>
        <w:t xml:space="preserve">J&amp;S) option because the election form did not have the spousal rights </w:t>
      </w:r>
      <w:r w:rsidR="00A366BD">
        <w:tab/>
      </w:r>
      <w:r>
        <w:t>prescribed”.</w:t>
      </w:r>
    </w:p>
    <w:p w:rsidR="00A366BD" w:rsidRDefault="00A366BD" w:rsidP="00110AFE"/>
    <w:p w:rsidR="00A366BD" w:rsidRDefault="00A366BD" w:rsidP="00110AFE">
      <w:r>
        <w:tab/>
        <w:t xml:space="preserve">Issues regarding the validity of the spousal waiver are not before the Appeals Committee, as that issue has been determined, and it has been found that, due to deficiencies in the election process, Ms. </w:t>
      </w:r>
      <w:r w:rsidR="00D458E6">
        <w:t>Smith</w:t>
      </w:r>
      <w:r>
        <w:t xml:space="preserve"> should be paid the 50% Joint and Survivor benefit.  The only issue before this Committee is whether the benefit payable to her may be properly offset by overpayments made to the late Mr. </w:t>
      </w:r>
      <w:r w:rsidR="00D458E6">
        <w:t>Smith</w:t>
      </w:r>
      <w:r>
        <w:t xml:space="preserve"> during his lifetime.</w:t>
      </w:r>
    </w:p>
    <w:p w:rsidR="00880509" w:rsidRDefault="00880509" w:rsidP="00110AFE"/>
    <w:p w:rsidR="008C12F8" w:rsidRDefault="000900B6" w:rsidP="00A366BD">
      <w:r>
        <w:rPr>
          <w:b/>
        </w:rPr>
        <w:t>.</w:t>
      </w:r>
      <w:r w:rsidR="00A366BD">
        <w:rPr>
          <w:b/>
        </w:rPr>
        <w:tab/>
        <w:t>Applicability of Employee Plans Compliance Resolution System</w:t>
      </w:r>
    </w:p>
    <w:p w:rsidR="005061D2" w:rsidRDefault="005061D2" w:rsidP="005061D2"/>
    <w:p w:rsidR="00B63474" w:rsidRDefault="005061D2" w:rsidP="00B34BEA">
      <w:pPr>
        <w:ind w:firstLine="720"/>
      </w:pPr>
      <w:r>
        <w:t xml:space="preserve">The Plan contends that the </w:t>
      </w:r>
      <w:r w:rsidR="00B63474">
        <w:t>Employee Plans Compliance Resolution System (hereinafter “EPCRS”) is</w:t>
      </w:r>
      <w:r w:rsidR="00D070C2">
        <w:t xml:space="preserve"> not applicable </w:t>
      </w:r>
      <w:r>
        <w:t xml:space="preserve">because the Plan </w:t>
      </w:r>
      <w:r w:rsidR="005F5D78">
        <w:t xml:space="preserve">is </w:t>
      </w:r>
      <w:r>
        <w:t>“not making a correction of operational defects</w:t>
      </w:r>
      <w:r w:rsidR="00B63474">
        <w:t>”.</w:t>
      </w:r>
      <w:r w:rsidR="00B34BEA">
        <w:t xml:space="preserve">  The Plan’s contention that the EPCRS correction procedures do not apply to this Plan failure is incorrect.  EPCRS correction procedures govern all corrections to all Plan failures.  </w:t>
      </w:r>
    </w:p>
    <w:p w:rsidR="00B63474" w:rsidRDefault="00B63474" w:rsidP="00B34BEA">
      <w:pPr>
        <w:ind w:firstLine="720"/>
      </w:pPr>
    </w:p>
    <w:p w:rsidR="00B63474" w:rsidRDefault="00B63474" w:rsidP="00B63474">
      <w:pPr>
        <w:ind w:firstLine="720"/>
      </w:pPr>
      <w:r>
        <w:t>EPCRS correction procedures define a Plan failure as “any failure,” including failures in Plan operation or in following the terms of the Plan Document.</w:t>
      </w:r>
      <w:r>
        <w:rPr>
          <w:rStyle w:val="FootnoteReference"/>
        </w:rPr>
        <w:footnoteReference w:id="1"/>
      </w:r>
      <w:r>
        <w:t xml:space="preserve">  Here, the Plan’s failure to properly advise the </w:t>
      </w:r>
      <w:r w:rsidR="00D458E6">
        <w:t>Smith</w:t>
      </w:r>
      <w:r>
        <w:t xml:space="preserve">s of their election options, coupled with the lack of evidence to support an inference that the Plan properly advised the </w:t>
      </w:r>
      <w:r w:rsidR="00D458E6">
        <w:t>Smith</w:t>
      </w:r>
      <w:r>
        <w:t xml:space="preserve">s of their election options, constitutes a Plan failure in following the terms of the Plan </w:t>
      </w:r>
      <w:r w:rsidRPr="00E373E7">
        <w:t>and, more importantly, ERISA procedures.</w:t>
      </w:r>
      <w:r>
        <w:t xml:space="preserve"> </w:t>
      </w:r>
    </w:p>
    <w:p w:rsidR="00B63474" w:rsidRDefault="00B63474" w:rsidP="00B34BEA">
      <w:pPr>
        <w:ind w:firstLine="720"/>
      </w:pPr>
    </w:p>
    <w:p w:rsidR="00B34BEA" w:rsidRPr="00B63474" w:rsidRDefault="00B63474" w:rsidP="00B34BEA">
      <w:r>
        <w:rPr>
          <w:i/>
        </w:rPr>
        <w:tab/>
      </w:r>
      <w:r w:rsidRPr="00B63474">
        <w:t xml:space="preserve">The fact that failure to obtain </w:t>
      </w:r>
      <w:r>
        <w:t xml:space="preserve">valid </w:t>
      </w:r>
      <w:r w:rsidRPr="00B63474">
        <w:t>spousal consen</w:t>
      </w:r>
      <w:r>
        <w:t>t constitutes a plan failure subject to EPCRS correction could not be more ob</w:t>
      </w:r>
      <w:r w:rsidR="00D070C2">
        <w:t>vious, as it is a specifically-</w:t>
      </w:r>
      <w:r>
        <w:t xml:space="preserve">enumerated and discussed failure throughout Rev. Proc. 2013 -12. See Section 6.04, </w:t>
      </w:r>
      <w:proofErr w:type="gramStart"/>
      <w:r>
        <w:t>“ Correction</w:t>
      </w:r>
      <w:proofErr w:type="gramEnd"/>
      <w:r>
        <w:t xml:space="preserve"> of a failure to obtain spousal consent”.  The plan’s position that this could be anything other than a “plan failure” requirin</w:t>
      </w:r>
      <w:r w:rsidR="00D070C2">
        <w:t xml:space="preserve">g correction pursuant to EPCRS </w:t>
      </w:r>
      <w:r>
        <w:t>defies logic.</w:t>
      </w:r>
    </w:p>
    <w:p w:rsidR="00B34BEA" w:rsidRDefault="00B34BEA" w:rsidP="00B34BEA"/>
    <w:p w:rsidR="00B34BEA" w:rsidRDefault="00B34BEA" w:rsidP="00B34BEA">
      <w:r>
        <w:tab/>
        <w:t xml:space="preserve">The defective nature of the Plan’s Election Form along with the Plan’s failure to properly advise the </w:t>
      </w:r>
      <w:r w:rsidR="00D458E6">
        <w:t>Smith</w:t>
      </w:r>
      <w:r>
        <w:t>s of their election options requires</w:t>
      </w:r>
      <w:r w:rsidR="00E373E7">
        <w:t xml:space="preserve"> that</w:t>
      </w:r>
      <w:r>
        <w:t xml:space="preserve"> the Plan’s actions be correctly classified as a Plan failure.  Because this is plainly a Plan failure, EPCRS</w:t>
      </w:r>
      <w:r w:rsidR="007530DA">
        <w:t xml:space="preserve"> correction procedures apply</w:t>
      </w:r>
      <w:r>
        <w:t>.  Section 6.02 explains that “a failure is not corrected unless full correction is made with respect to all participants and beneficiaries.”</w:t>
      </w:r>
      <w:r>
        <w:rPr>
          <w:rStyle w:val="FootnoteReference"/>
        </w:rPr>
        <w:footnoteReference w:id="2"/>
      </w:r>
      <w:r>
        <w:t xml:space="preserve">  Section 6.02(1) further provides that corrections include the “restoration of current and former participants and beneficiaries to the benefits and rights they would have had if the failure had not occurred.”</w:t>
      </w:r>
      <w:r w:rsidR="007530DA">
        <w:rPr>
          <w:rStyle w:val="FootnoteReference"/>
        </w:rPr>
        <w:footnoteReference w:id="3"/>
      </w:r>
      <w:r>
        <w:t xml:space="preserve">  Section 6.02(2) provides that these corrections should be “reasonable and appropriate for the failure” and should, “to the extent possible, resemble one already provided for in the Code, regulations, or other guidance or general applicability.”</w:t>
      </w:r>
      <w:r w:rsidR="007530DA">
        <w:rPr>
          <w:rStyle w:val="FootnoteReference"/>
        </w:rPr>
        <w:footnoteReference w:id="4"/>
      </w:r>
      <w:r>
        <w:t xml:space="preserve">  </w:t>
      </w:r>
    </w:p>
    <w:p w:rsidR="00B34BEA" w:rsidRDefault="00B34BEA" w:rsidP="00B34BEA">
      <w:pPr>
        <w:ind w:firstLine="720"/>
      </w:pPr>
    </w:p>
    <w:p w:rsidR="00B34BEA" w:rsidRDefault="007530DA" w:rsidP="00B34BEA">
      <w:pPr>
        <w:ind w:firstLine="720"/>
      </w:pPr>
      <w:r>
        <w:t>Section 6.06 would require the Plan to properly follow correction procedures by remitting to</w:t>
      </w:r>
      <w:r w:rsidR="00B34BEA">
        <w:t xml:space="preserve"> Helena </w:t>
      </w:r>
      <w:r w:rsidR="00D458E6">
        <w:t>Smith</w:t>
      </w:r>
      <w:r>
        <w:t xml:space="preserve"> </w:t>
      </w:r>
      <w:r w:rsidR="00B34BEA">
        <w:t>a lump sum retroactive payment with interest of her entitled benefits to the date on which she should have begun receiving her QJSA.</w:t>
      </w:r>
      <w:r>
        <w:rPr>
          <w:rStyle w:val="FootnoteReference"/>
        </w:rPr>
        <w:footnoteReference w:id="5"/>
      </w:r>
      <w:r w:rsidR="00B34BEA">
        <w:t xml:space="preserve">  This correction would restore Ms. </w:t>
      </w:r>
      <w:r w:rsidR="00D458E6">
        <w:t>Smith</w:t>
      </w:r>
      <w:r w:rsidR="00B34BEA">
        <w:t xml:space="preserve">, the current participant, with the benefits and rights she would have had if the Plan failure had not occurred.  This correction is “reasonable and appropriate for the failure” because Ms. </w:t>
      </w:r>
      <w:r w:rsidR="00D458E6">
        <w:t>Smith</w:t>
      </w:r>
      <w:r w:rsidR="00B34BEA">
        <w:t xml:space="preserve"> has gone without her survivor benefits since her husband’s passing through no fault of her own.</w:t>
      </w:r>
    </w:p>
    <w:p w:rsidR="00B34BEA" w:rsidRDefault="00B34BEA" w:rsidP="00B34BEA"/>
    <w:p w:rsidR="00B34BEA" w:rsidRDefault="00B63474" w:rsidP="00B34BEA">
      <w:pPr>
        <w:ind w:firstLine="720"/>
      </w:pPr>
      <w:r>
        <w:t xml:space="preserve">The specific nature of the plan’s failure in this case is also directly discussed at </w:t>
      </w:r>
      <w:r w:rsidR="00B34BEA" w:rsidRPr="00E373E7">
        <w:t>paragraph .07 of Appendix A</w:t>
      </w:r>
      <w:r w:rsidR="00E373E7" w:rsidRPr="00E373E7">
        <w:t xml:space="preserve"> of the EPCRS</w:t>
      </w:r>
      <w:r w:rsidR="00B34BEA" w:rsidRPr="00E373E7">
        <w:t>.</w:t>
      </w:r>
      <w:r w:rsidR="007530DA" w:rsidRPr="00E373E7">
        <w:rPr>
          <w:rStyle w:val="FootnoteReference"/>
        </w:rPr>
        <w:footnoteReference w:id="6"/>
      </w:r>
      <w:r w:rsidR="00B34BEA" w:rsidRPr="00E373E7">
        <w:t xml:space="preserve">  This section pertains to procedures Plans may follow in order to c</w:t>
      </w:r>
      <w:r w:rsidR="007530DA" w:rsidRPr="00E373E7">
        <w:t xml:space="preserve">orrect operational defects.  </w:t>
      </w:r>
      <w:r w:rsidR="00B34BEA" w:rsidRPr="00E373E7">
        <w:t xml:space="preserve">This provision explicitly states that, “the portion of the qualified joint and survivor annuity payable to the spouse upon the death of the participant may </w:t>
      </w:r>
      <w:r w:rsidR="00B34BEA" w:rsidRPr="00E373E7">
        <w:rPr>
          <w:u w:val="single"/>
        </w:rPr>
        <w:t>not</w:t>
      </w:r>
      <w:r w:rsidR="00B34BEA" w:rsidRPr="00E373E7">
        <w:t xml:space="preserve"> be actuarially reduced to take into account prior dis</w:t>
      </w:r>
      <w:r w:rsidR="00E373E7" w:rsidRPr="00E373E7">
        <w:t>tributions to the participant.”</w:t>
      </w:r>
      <w:r w:rsidR="00E373E7" w:rsidRPr="00E373E7">
        <w:rPr>
          <w:rStyle w:val="FootnoteReference"/>
        </w:rPr>
        <w:footnoteReference w:id="7"/>
      </w:r>
      <w:r w:rsidR="00E373E7" w:rsidRPr="00E373E7">
        <w:t xml:space="preserve">  </w:t>
      </w:r>
      <w:r w:rsidR="00B34BEA" w:rsidRPr="00E373E7">
        <w:t>(</w:t>
      </w:r>
      <w:proofErr w:type="gramStart"/>
      <w:r w:rsidR="00B34BEA" w:rsidRPr="00E373E7">
        <w:t>emphasis</w:t>
      </w:r>
      <w:proofErr w:type="gramEnd"/>
      <w:r w:rsidR="00B34BEA" w:rsidRPr="00E373E7">
        <w:t xml:space="preserve"> added).</w:t>
      </w:r>
      <w:r w:rsidR="007530DA" w:rsidRPr="00E373E7">
        <w:t xml:space="preserve">  </w:t>
      </w:r>
      <w:r w:rsidR="00B34BEA" w:rsidRPr="00E373E7">
        <w:t xml:space="preserve">If the Plan should attempt offset any amount payable to Helena </w:t>
      </w:r>
      <w:r w:rsidR="00D458E6">
        <w:t>Smith</w:t>
      </w:r>
      <w:r w:rsidR="00B34BEA" w:rsidRPr="00E373E7">
        <w:t xml:space="preserve"> by amounts by which her husband was overpaid, the Plan would be acting in contravention of clear IRS procedures and co</w:t>
      </w:r>
      <w:r w:rsidR="00E373E7" w:rsidRPr="00E373E7">
        <w:t>uld face plan disqualification.</w:t>
      </w:r>
      <w:r w:rsidR="00E373E7" w:rsidRPr="00E373E7">
        <w:rPr>
          <w:rStyle w:val="FootnoteReference"/>
        </w:rPr>
        <w:footnoteReference w:id="8"/>
      </w:r>
    </w:p>
    <w:p w:rsidR="00725758" w:rsidRDefault="00725758" w:rsidP="00B34BEA">
      <w:pPr>
        <w:ind w:firstLine="720"/>
      </w:pPr>
    </w:p>
    <w:p w:rsidR="00725758" w:rsidRPr="00725758" w:rsidRDefault="00725758" w:rsidP="00B34BEA">
      <w:pPr>
        <w:ind w:firstLine="720"/>
        <w:rPr>
          <w:b/>
        </w:rPr>
      </w:pPr>
      <w:r w:rsidRPr="00725758">
        <w:rPr>
          <w:b/>
        </w:rPr>
        <w:t>Proposed Resolution</w:t>
      </w:r>
    </w:p>
    <w:p w:rsidR="00B34BEA" w:rsidRDefault="00B34BEA" w:rsidP="00B34BEA"/>
    <w:p w:rsidR="00725758" w:rsidRDefault="00725758" w:rsidP="00B34BEA">
      <w:r>
        <w:tab/>
        <w:t xml:space="preserve">It is clear from the preceding discussion that the Plan has no authority to unilaterally lower or withhold Ms. </w:t>
      </w:r>
      <w:r w:rsidR="00D458E6">
        <w:t>Smith</w:t>
      </w:r>
      <w:r>
        <w:t xml:space="preserve">’s survivor benefit.  </w:t>
      </w:r>
    </w:p>
    <w:p w:rsidR="00725758" w:rsidRDefault="00725758" w:rsidP="00B34BEA"/>
    <w:p w:rsidR="00725758" w:rsidRDefault="00725758" w:rsidP="00B34BEA">
      <w:r>
        <w:tab/>
        <w:t xml:space="preserve">During the telephone hearing, certain committee members inquired about Mr. </w:t>
      </w:r>
      <w:r w:rsidR="00D458E6">
        <w:t>Smith</w:t>
      </w:r>
      <w:r>
        <w:t xml:space="preserve">’s probate estate.  As an accommodation to the Committee, we contacted the attorney who handled that matter, Michelle </w:t>
      </w:r>
      <w:proofErr w:type="spellStart"/>
      <w:r>
        <w:t>Benesk</w:t>
      </w:r>
      <w:r w:rsidR="000224AC">
        <w:t>i</w:t>
      </w:r>
      <w:proofErr w:type="spellEnd"/>
      <w:r w:rsidR="000224AC">
        <w:t xml:space="preserve">, of </w:t>
      </w:r>
      <w:proofErr w:type="spellStart"/>
      <w:r w:rsidR="000224AC">
        <w:t>Suprenant</w:t>
      </w:r>
      <w:proofErr w:type="spellEnd"/>
      <w:r w:rsidR="000224AC">
        <w:t xml:space="preserve"> and </w:t>
      </w:r>
      <w:proofErr w:type="spellStart"/>
      <w:r w:rsidR="000224AC">
        <w:t>Beneski</w:t>
      </w:r>
      <w:proofErr w:type="spellEnd"/>
      <w:r>
        <w:t xml:space="preserve">.  </w:t>
      </w:r>
      <w:r w:rsidR="000224AC">
        <w:t>Her office</w:t>
      </w:r>
      <w:r>
        <w:t xml:space="preserve"> informed us that there were no assets to be probated upon Mr. </w:t>
      </w:r>
      <w:r w:rsidR="00D458E6">
        <w:t>Smith</w:t>
      </w:r>
      <w:r>
        <w:t>’s death, and no action was filed.</w:t>
      </w:r>
    </w:p>
    <w:p w:rsidR="00725758" w:rsidRDefault="00725758" w:rsidP="00B34BEA"/>
    <w:p w:rsidR="00725758" w:rsidRDefault="00725758" w:rsidP="00B34BEA">
      <w:r>
        <w:tab/>
        <w:t xml:space="preserve">In light of these factors, Ms. </w:t>
      </w:r>
      <w:r w:rsidR="00D458E6">
        <w:t>Smith</w:t>
      </w:r>
      <w:r>
        <w:t xml:space="preserve"> proposes that she would agree to a voluntary reduction of $25 per month in her survivor annuity to restore to the plan some amount of the payments made to Mr. </w:t>
      </w:r>
      <w:r w:rsidR="00D458E6">
        <w:t>Smith</w:t>
      </w:r>
      <w:r>
        <w:t xml:space="preserve"> during his lifetime.</w:t>
      </w:r>
    </w:p>
    <w:p w:rsidR="002E3B38" w:rsidRDefault="007530DA" w:rsidP="002E3B38">
      <w:r>
        <w:tab/>
      </w:r>
    </w:p>
    <w:p w:rsidR="00B34BEA" w:rsidRDefault="00B34BEA" w:rsidP="00B34BEA">
      <w:pPr>
        <w:ind w:left="4320" w:firstLine="720"/>
      </w:pPr>
      <w:r>
        <w:t>Sincerely,</w:t>
      </w:r>
    </w:p>
    <w:p w:rsidR="00B34BEA" w:rsidRDefault="00B34BEA" w:rsidP="00B34BEA"/>
    <w:p w:rsidR="00B34BEA" w:rsidRDefault="00B34BEA" w:rsidP="00B34BEA">
      <w:r>
        <w:tab/>
      </w:r>
      <w:r>
        <w:tab/>
      </w:r>
      <w:r>
        <w:tab/>
      </w:r>
      <w:r>
        <w:tab/>
      </w:r>
      <w:r>
        <w:tab/>
      </w:r>
      <w:r>
        <w:tab/>
      </w:r>
    </w:p>
    <w:p w:rsidR="00B34BEA" w:rsidRDefault="00B34BEA" w:rsidP="00B34BEA"/>
    <w:p w:rsidR="00B34BEA" w:rsidRDefault="00B34BEA" w:rsidP="00B34BEA">
      <w:r>
        <w:tab/>
      </w:r>
      <w:r>
        <w:tab/>
      </w:r>
      <w:r>
        <w:tab/>
      </w:r>
      <w:r>
        <w:tab/>
      </w:r>
      <w:r>
        <w:tab/>
      </w:r>
      <w:r>
        <w:tab/>
      </w:r>
      <w:r>
        <w:tab/>
        <w:t>Jeanne M. Medeiros, Esq.</w:t>
      </w:r>
    </w:p>
    <w:p w:rsidR="00B34BEA" w:rsidRDefault="00B34BEA" w:rsidP="00B34BEA">
      <w:r>
        <w:tab/>
      </w:r>
      <w:r>
        <w:tab/>
      </w:r>
      <w:r>
        <w:tab/>
      </w:r>
      <w:r>
        <w:tab/>
      </w:r>
      <w:r>
        <w:tab/>
      </w:r>
      <w:r>
        <w:tab/>
      </w:r>
      <w:r>
        <w:tab/>
        <w:t>Managing Attorney</w:t>
      </w:r>
    </w:p>
    <w:sectPr w:rsidR="00B34BEA" w:rsidSect="00C83E9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444" w:rsidRDefault="00806444" w:rsidP="00C93C19">
      <w:r>
        <w:separator/>
      </w:r>
    </w:p>
  </w:endnote>
  <w:endnote w:type="continuationSeparator" w:id="0">
    <w:p w:rsidR="00806444" w:rsidRDefault="00806444" w:rsidP="00C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016319"/>
      <w:docPartObj>
        <w:docPartGallery w:val="Page Numbers (Bottom of Page)"/>
        <w:docPartUnique/>
      </w:docPartObj>
    </w:sdtPr>
    <w:sdtEndPr>
      <w:rPr>
        <w:noProof/>
      </w:rPr>
    </w:sdtEndPr>
    <w:sdtContent>
      <w:p w:rsidR="003960EB" w:rsidRDefault="003960EB">
        <w:pPr>
          <w:pStyle w:val="Footer"/>
          <w:jc w:val="center"/>
        </w:pPr>
        <w:r>
          <w:fldChar w:fldCharType="begin"/>
        </w:r>
        <w:r>
          <w:instrText xml:space="preserve"> PAGE   \* MERGEFORMAT </w:instrText>
        </w:r>
        <w:r>
          <w:fldChar w:fldCharType="separate"/>
        </w:r>
        <w:r w:rsidR="00D458E6">
          <w:rPr>
            <w:noProof/>
          </w:rPr>
          <w:t>3</w:t>
        </w:r>
        <w:r>
          <w:rPr>
            <w:noProof/>
          </w:rPr>
          <w:fldChar w:fldCharType="end"/>
        </w:r>
      </w:p>
    </w:sdtContent>
  </w:sdt>
  <w:p w:rsidR="003960EB" w:rsidRDefault="00396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444" w:rsidRDefault="00806444" w:rsidP="00C93C19">
      <w:r>
        <w:separator/>
      </w:r>
    </w:p>
  </w:footnote>
  <w:footnote w:type="continuationSeparator" w:id="0">
    <w:p w:rsidR="00806444" w:rsidRDefault="00806444" w:rsidP="00C93C19">
      <w:r>
        <w:continuationSeparator/>
      </w:r>
    </w:p>
  </w:footnote>
  <w:footnote w:id="1">
    <w:p w:rsidR="00B63474" w:rsidRDefault="00B63474" w:rsidP="00B63474">
      <w:pPr>
        <w:pStyle w:val="FootnoteText"/>
      </w:pPr>
      <w:r w:rsidRPr="001345C6">
        <w:rPr>
          <w:rStyle w:val="FootnoteReference"/>
          <w:sz w:val="24"/>
          <w:szCs w:val="24"/>
        </w:rPr>
        <w:footnoteRef/>
      </w:r>
      <w:r w:rsidRPr="001345C6">
        <w:rPr>
          <w:sz w:val="24"/>
          <w:szCs w:val="24"/>
        </w:rPr>
        <w:t xml:space="preserve"> Rev. Proc. 2013-12, Section 1.02</w:t>
      </w:r>
    </w:p>
  </w:footnote>
  <w:footnote w:id="2">
    <w:p w:rsidR="00B34BEA" w:rsidRPr="001345C6" w:rsidRDefault="00B34BEA">
      <w:pPr>
        <w:pStyle w:val="FootnoteText"/>
        <w:rPr>
          <w:sz w:val="24"/>
          <w:szCs w:val="24"/>
        </w:rPr>
      </w:pPr>
      <w:r>
        <w:rPr>
          <w:rStyle w:val="FootnoteReference"/>
        </w:rPr>
        <w:footnoteRef/>
      </w:r>
      <w:r>
        <w:t xml:space="preserve"> </w:t>
      </w:r>
      <w:r w:rsidRPr="001345C6">
        <w:rPr>
          <w:sz w:val="24"/>
          <w:szCs w:val="24"/>
        </w:rPr>
        <w:t xml:space="preserve">Rev. Proc. 2013-12, Section 6.02 </w:t>
      </w:r>
    </w:p>
  </w:footnote>
  <w:footnote w:id="3">
    <w:p w:rsidR="007530DA" w:rsidRPr="001345C6" w:rsidRDefault="007530DA">
      <w:pPr>
        <w:pStyle w:val="FootnoteText"/>
        <w:rPr>
          <w:sz w:val="24"/>
          <w:szCs w:val="24"/>
        </w:rPr>
      </w:pPr>
      <w:r w:rsidRPr="001345C6">
        <w:rPr>
          <w:rStyle w:val="FootnoteReference"/>
          <w:sz w:val="24"/>
          <w:szCs w:val="24"/>
        </w:rPr>
        <w:footnoteRef/>
      </w:r>
      <w:r w:rsidRPr="001345C6">
        <w:rPr>
          <w:sz w:val="24"/>
          <w:szCs w:val="24"/>
        </w:rPr>
        <w:t xml:space="preserve"> </w:t>
      </w:r>
      <w:proofErr w:type="gramStart"/>
      <w:r w:rsidRPr="001345C6">
        <w:rPr>
          <w:sz w:val="24"/>
          <w:szCs w:val="24"/>
        </w:rPr>
        <w:t>Rev. Proc. 2013-12, Section 6.02 (1).</w:t>
      </w:r>
      <w:proofErr w:type="gramEnd"/>
    </w:p>
  </w:footnote>
  <w:footnote w:id="4">
    <w:p w:rsidR="007530DA" w:rsidRPr="001345C6" w:rsidRDefault="007530DA">
      <w:pPr>
        <w:pStyle w:val="FootnoteText"/>
        <w:rPr>
          <w:sz w:val="24"/>
          <w:szCs w:val="24"/>
        </w:rPr>
      </w:pPr>
      <w:r w:rsidRPr="001345C6">
        <w:rPr>
          <w:rStyle w:val="FootnoteReference"/>
          <w:sz w:val="24"/>
          <w:szCs w:val="24"/>
        </w:rPr>
        <w:footnoteRef/>
      </w:r>
      <w:r w:rsidRPr="001345C6">
        <w:rPr>
          <w:sz w:val="24"/>
          <w:szCs w:val="24"/>
        </w:rPr>
        <w:t xml:space="preserve"> </w:t>
      </w:r>
      <w:proofErr w:type="gramStart"/>
      <w:r w:rsidRPr="001345C6">
        <w:rPr>
          <w:sz w:val="24"/>
          <w:szCs w:val="24"/>
        </w:rPr>
        <w:t>Rev. Proc. 2013-12, Section 6.02 (2).</w:t>
      </w:r>
      <w:proofErr w:type="gramEnd"/>
    </w:p>
  </w:footnote>
  <w:footnote w:id="5">
    <w:p w:rsidR="007530DA" w:rsidRPr="001345C6" w:rsidRDefault="007530DA">
      <w:pPr>
        <w:pStyle w:val="FootnoteText"/>
        <w:rPr>
          <w:sz w:val="24"/>
          <w:szCs w:val="24"/>
        </w:rPr>
      </w:pPr>
      <w:r w:rsidRPr="001345C6">
        <w:rPr>
          <w:rStyle w:val="FootnoteReference"/>
          <w:sz w:val="24"/>
          <w:szCs w:val="24"/>
        </w:rPr>
        <w:footnoteRef/>
      </w:r>
      <w:r w:rsidRPr="001345C6">
        <w:rPr>
          <w:sz w:val="24"/>
          <w:szCs w:val="24"/>
        </w:rPr>
        <w:t xml:space="preserve"> Rev. P</w:t>
      </w:r>
      <w:r w:rsidR="00324CA1">
        <w:rPr>
          <w:sz w:val="24"/>
          <w:szCs w:val="24"/>
        </w:rPr>
        <w:t>r</w:t>
      </w:r>
      <w:r w:rsidRPr="001345C6">
        <w:rPr>
          <w:sz w:val="24"/>
          <w:szCs w:val="24"/>
        </w:rPr>
        <w:t xml:space="preserve">oc. 2013-12, Section 6.06, relating to failures in distributing before the required minimum distribution date.  </w:t>
      </w:r>
    </w:p>
  </w:footnote>
  <w:footnote w:id="6">
    <w:p w:rsidR="007530DA" w:rsidRPr="001345C6" w:rsidRDefault="007530DA">
      <w:pPr>
        <w:pStyle w:val="FootnoteText"/>
        <w:rPr>
          <w:sz w:val="24"/>
          <w:szCs w:val="24"/>
        </w:rPr>
      </w:pPr>
      <w:r w:rsidRPr="001345C6">
        <w:rPr>
          <w:rStyle w:val="FootnoteReference"/>
          <w:sz w:val="24"/>
          <w:szCs w:val="24"/>
        </w:rPr>
        <w:footnoteRef/>
      </w:r>
      <w:r w:rsidRPr="001345C6">
        <w:rPr>
          <w:sz w:val="24"/>
          <w:szCs w:val="24"/>
        </w:rPr>
        <w:t xml:space="preserve"> Rev. Proc. </w:t>
      </w:r>
      <w:r w:rsidR="00E373E7">
        <w:rPr>
          <w:sz w:val="24"/>
          <w:szCs w:val="24"/>
        </w:rPr>
        <w:t xml:space="preserve">2013-12, </w:t>
      </w:r>
      <w:r w:rsidRPr="001345C6">
        <w:rPr>
          <w:sz w:val="24"/>
          <w:szCs w:val="24"/>
        </w:rPr>
        <w:t>Appendix A</w:t>
      </w:r>
      <w:r w:rsidR="00E373E7">
        <w:rPr>
          <w:sz w:val="24"/>
          <w:szCs w:val="24"/>
        </w:rPr>
        <w:t>, Paragrap</w:t>
      </w:r>
      <w:r w:rsidR="00E373E7" w:rsidRPr="001345C6">
        <w:rPr>
          <w:sz w:val="24"/>
          <w:szCs w:val="24"/>
        </w:rPr>
        <w:t>h .07</w:t>
      </w:r>
      <w:r w:rsidRPr="001345C6">
        <w:rPr>
          <w:sz w:val="24"/>
          <w:szCs w:val="24"/>
        </w:rPr>
        <w:t xml:space="preserve">.  </w:t>
      </w:r>
    </w:p>
  </w:footnote>
  <w:footnote w:id="7">
    <w:p w:rsidR="00E373E7" w:rsidRDefault="00E373E7">
      <w:pPr>
        <w:pStyle w:val="FootnoteText"/>
      </w:pPr>
      <w:r>
        <w:rPr>
          <w:rStyle w:val="FootnoteReference"/>
        </w:rPr>
        <w:footnoteRef/>
      </w:r>
      <w:r>
        <w:t xml:space="preserve"> </w:t>
      </w:r>
      <w:r w:rsidRPr="00E373E7">
        <w:rPr>
          <w:sz w:val="24"/>
          <w:szCs w:val="24"/>
          <w:u w:val="single"/>
        </w:rPr>
        <w:t>Id.</w:t>
      </w:r>
      <w:r w:rsidRPr="00E373E7">
        <w:rPr>
          <w:sz w:val="24"/>
          <w:szCs w:val="24"/>
        </w:rPr>
        <w:t xml:space="preserve">  Emphasis added</w:t>
      </w:r>
      <w:r>
        <w:rPr>
          <w:sz w:val="24"/>
          <w:szCs w:val="24"/>
        </w:rPr>
        <w:t>.</w:t>
      </w:r>
    </w:p>
  </w:footnote>
  <w:footnote w:id="8">
    <w:p w:rsidR="00E373E7" w:rsidRDefault="00E373E7">
      <w:pPr>
        <w:pStyle w:val="FootnoteText"/>
      </w:pPr>
      <w:r>
        <w:rPr>
          <w:rStyle w:val="FootnoteReference"/>
        </w:rPr>
        <w:footnoteRef/>
      </w:r>
      <w:r>
        <w:t xml:space="preserve"> </w:t>
      </w:r>
      <w:r w:rsidRPr="00E373E7">
        <w:rPr>
          <w:sz w:val="24"/>
          <w:szCs w:val="24"/>
          <w:u w:val="single"/>
        </w:rPr>
        <w:t>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2E"/>
    <w:rsid w:val="000224AC"/>
    <w:rsid w:val="00036E49"/>
    <w:rsid w:val="00047171"/>
    <w:rsid w:val="00047563"/>
    <w:rsid w:val="0005114D"/>
    <w:rsid w:val="00052362"/>
    <w:rsid w:val="00070779"/>
    <w:rsid w:val="000773D8"/>
    <w:rsid w:val="000900B6"/>
    <w:rsid w:val="0009182F"/>
    <w:rsid w:val="000936AD"/>
    <w:rsid w:val="000A3CFD"/>
    <w:rsid w:val="000C39E1"/>
    <w:rsid w:val="00110AFE"/>
    <w:rsid w:val="0011536C"/>
    <w:rsid w:val="001159A9"/>
    <w:rsid w:val="00131E98"/>
    <w:rsid w:val="00133884"/>
    <w:rsid w:val="00134550"/>
    <w:rsid w:val="001345C6"/>
    <w:rsid w:val="001349F6"/>
    <w:rsid w:val="001657B8"/>
    <w:rsid w:val="001834BE"/>
    <w:rsid w:val="001D59FF"/>
    <w:rsid w:val="001E7309"/>
    <w:rsid w:val="00203C80"/>
    <w:rsid w:val="0023323B"/>
    <w:rsid w:val="00245C74"/>
    <w:rsid w:val="00245CA2"/>
    <w:rsid w:val="00245FA0"/>
    <w:rsid w:val="00246609"/>
    <w:rsid w:val="002733D0"/>
    <w:rsid w:val="002820C4"/>
    <w:rsid w:val="002C2BE1"/>
    <w:rsid w:val="002E3B38"/>
    <w:rsid w:val="00310846"/>
    <w:rsid w:val="00320DBB"/>
    <w:rsid w:val="00321230"/>
    <w:rsid w:val="00324CA1"/>
    <w:rsid w:val="00342D47"/>
    <w:rsid w:val="00343891"/>
    <w:rsid w:val="00344AF5"/>
    <w:rsid w:val="00345A7A"/>
    <w:rsid w:val="00350608"/>
    <w:rsid w:val="003706AA"/>
    <w:rsid w:val="003855C5"/>
    <w:rsid w:val="003960EB"/>
    <w:rsid w:val="003B0C7E"/>
    <w:rsid w:val="003C0490"/>
    <w:rsid w:val="003C26CC"/>
    <w:rsid w:val="003E33AA"/>
    <w:rsid w:val="003F231E"/>
    <w:rsid w:val="00400CD4"/>
    <w:rsid w:val="00421E95"/>
    <w:rsid w:val="00426C0F"/>
    <w:rsid w:val="0044688F"/>
    <w:rsid w:val="004641C0"/>
    <w:rsid w:val="004A2D2D"/>
    <w:rsid w:val="004A78CC"/>
    <w:rsid w:val="004B0333"/>
    <w:rsid w:val="004B359E"/>
    <w:rsid w:val="004D2483"/>
    <w:rsid w:val="004E1E75"/>
    <w:rsid w:val="004E548D"/>
    <w:rsid w:val="004E6137"/>
    <w:rsid w:val="004F26FA"/>
    <w:rsid w:val="0050579D"/>
    <w:rsid w:val="005061D2"/>
    <w:rsid w:val="00516623"/>
    <w:rsid w:val="00523186"/>
    <w:rsid w:val="00583D6A"/>
    <w:rsid w:val="0059414A"/>
    <w:rsid w:val="005A059B"/>
    <w:rsid w:val="005A1278"/>
    <w:rsid w:val="005A7078"/>
    <w:rsid w:val="005C5F55"/>
    <w:rsid w:val="005D5F23"/>
    <w:rsid w:val="005E2DD0"/>
    <w:rsid w:val="005F400D"/>
    <w:rsid w:val="005F5D78"/>
    <w:rsid w:val="00614FF1"/>
    <w:rsid w:val="006571C9"/>
    <w:rsid w:val="00667509"/>
    <w:rsid w:val="00684990"/>
    <w:rsid w:val="006A5BFC"/>
    <w:rsid w:val="006A71D7"/>
    <w:rsid w:val="006B5A0E"/>
    <w:rsid w:val="006C59C8"/>
    <w:rsid w:val="006D41BD"/>
    <w:rsid w:val="006F4FF0"/>
    <w:rsid w:val="007115D7"/>
    <w:rsid w:val="00717AFE"/>
    <w:rsid w:val="00723AEC"/>
    <w:rsid w:val="00725758"/>
    <w:rsid w:val="00742A1B"/>
    <w:rsid w:val="007530DA"/>
    <w:rsid w:val="00753499"/>
    <w:rsid w:val="007569BA"/>
    <w:rsid w:val="00764A80"/>
    <w:rsid w:val="007711FB"/>
    <w:rsid w:val="0077525F"/>
    <w:rsid w:val="00780199"/>
    <w:rsid w:val="00793833"/>
    <w:rsid w:val="007B452E"/>
    <w:rsid w:val="007D6D85"/>
    <w:rsid w:val="007F0F32"/>
    <w:rsid w:val="007F67B1"/>
    <w:rsid w:val="00806444"/>
    <w:rsid w:val="0082758E"/>
    <w:rsid w:val="00834DBF"/>
    <w:rsid w:val="008366AB"/>
    <w:rsid w:val="00845F91"/>
    <w:rsid w:val="00850D49"/>
    <w:rsid w:val="00861DB7"/>
    <w:rsid w:val="00880509"/>
    <w:rsid w:val="00886066"/>
    <w:rsid w:val="008974C7"/>
    <w:rsid w:val="008C12F8"/>
    <w:rsid w:val="008C1343"/>
    <w:rsid w:val="008D6F71"/>
    <w:rsid w:val="008E1686"/>
    <w:rsid w:val="009000D1"/>
    <w:rsid w:val="00913DD8"/>
    <w:rsid w:val="00947059"/>
    <w:rsid w:val="00950F30"/>
    <w:rsid w:val="009555D0"/>
    <w:rsid w:val="00962656"/>
    <w:rsid w:val="00964556"/>
    <w:rsid w:val="00982E96"/>
    <w:rsid w:val="009904D9"/>
    <w:rsid w:val="009A371D"/>
    <w:rsid w:val="009B179E"/>
    <w:rsid w:val="009B40F1"/>
    <w:rsid w:val="009F6C7B"/>
    <w:rsid w:val="00A366BD"/>
    <w:rsid w:val="00A82D53"/>
    <w:rsid w:val="00A90386"/>
    <w:rsid w:val="00A90D92"/>
    <w:rsid w:val="00AC10FA"/>
    <w:rsid w:val="00AD51A8"/>
    <w:rsid w:val="00AE2B45"/>
    <w:rsid w:val="00B021D9"/>
    <w:rsid w:val="00B23374"/>
    <w:rsid w:val="00B2378F"/>
    <w:rsid w:val="00B324DF"/>
    <w:rsid w:val="00B32BF7"/>
    <w:rsid w:val="00B34BEA"/>
    <w:rsid w:val="00B43186"/>
    <w:rsid w:val="00B44ACE"/>
    <w:rsid w:val="00B63474"/>
    <w:rsid w:val="00B74218"/>
    <w:rsid w:val="00BA3C1D"/>
    <w:rsid w:val="00BC2F3E"/>
    <w:rsid w:val="00BC7C3D"/>
    <w:rsid w:val="00C12761"/>
    <w:rsid w:val="00C523BB"/>
    <w:rsid w:val="00C52D75"/>
    <w:rsid w:val="00C57750"/>
    <w:rsid w:val="00C6113B"/>
    <w:rsid w:val="00C7433B"/>
    <w:rsid w:val="00C749A1"/>
    <w:rsid w:val="00C83E97"/>
    <w:rsid w:val="00C93C19"/>
    <w:rsid w:val="00CA48B0"/>
    <w:rsid w:val="00CF185F"/>
    <w:rsid w:val="00CF2065"/>
    <w:rsid w:val="00D070C2"/>
    <w:rsid w:val="00D25FAC"/>
    <w:rsid w:val="00D26EB7"/>
    <w:rsid w:val="00D32783"/>
    <w:rsid w:val="00D413C2"/>
    <w:rsid w:val="00D41411"/>
    <w:rsid w:val="00D458E6"/>
    <w:rsid w:val="00D51264"/>
    <w:rsid w:val="00D861AA"/>
    <w:rsid w:val="00D86471"/>
    <w:rsid w:val="00D86E48"/>
    <w:rsid w:val="00DD4999"/>
    <w:rsid w:val="00DD5948"/>
    <w:rsid w:val="00DE285A"/>
    <w:rsid w:val="00E164D3"/>
    <w:rsid w:val="00E26B00"/>
    <w:rsid w:val="00E373E7"/>
    <w:rsid w:val="00E55F0F"/>
    <w:rsid w:val="00E6440C"/>
    <w:rsid w:val="00ED0C6C"/>
    <w:rsid w:val="00EF4E40"/>
    <w:rsid w:val="00F17A6D"/>
    <w:rsid w:val="00F3041A"/>
    <w:rsid w:val="00F316FC"/>
    <w:rsid w:val="00F35055"/>
    <w:rsid w:val="00F44F71"/>
    <w:rsid w:val="00F611D0"/>
    <w:rsid w:val="00F90857"/>
    <w:rsid w:val="00F92AF5"/>
    <w:rsid w:val="00FB19E9"/>
    <w:rsid w:val="00FB6464"/>
    <w:rsid w:val="00FD36C8"/>
    <w:rsid w:val="00FE0E87"/>
    <w:rsid w:val="00FE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8F"/>
    <w:rPr>
      <w:sz w:val="24"/>
      <w:szCs w:val="24"/>
    </w:rPr>
  </w:style>
  <w:style w:type="paragraph" w:styleId="Heading1">
    <w:name w:val="heading 1"/>
    <w:basedOn w:val="Normal"/>
    <w:next w:val="Normal"/>
    <w:qFormat/>
    <w:rsid w:val="00B2378F"/>
    <w:pPr>
      <w:keepNext/>
      <w:jc w:val="center"/>
      <w:outlineLvl w:val="0"/>
    </w:pPr>
    <w:rPr>
      <w:u w:val="single"/>
    </w:rPr>
  </w:style>
  <w:style w:type="paragraph" w:styleId="Heading2">
    <w:name w:val="heading 2"/>
    <w:basedOn w:val="Normal"/>
    <w:next w:val="Normal"/>
    <w:qFormat/>
    <w:rsid w:val="00B2378F"/>
    <w:pPr>
      <w:keepNext/>
      <w:jc w:val="right"/>
      <w:outlineLvl w:val="1"/>
    </w:pPr>
    <w:rPr>
      <w:u w:val="single"/>
    </w:rPr>
  </w:style>
  <w:style w:type="paragraph" w:styleId="Heading3">
    <w:name w:val="heading 3"/>
    <w:basedOn w:val="Normal"/>
    <w:next w:val="Normal"/>
    <w:qFormat/>
    <w:rsid w:val="00B2378F"/>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1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A3CFD"/>
    <w:rPr>
      <w:color w:val="0000FF" w:themeColor="hyperlink"/>
      <w:u w:val="single"/>
    </w:rPr>
  </w:style>
  <w:style w:type="paragraph" w:styleId="BalloonText">
    <w:name w:val="Balloon Text"/>
    <w:basedOn w:val="Normal"/>
    <w:link w:val="BalloonTextChar"/>
    <w:rsid w:val="00742A1B"/>
    <w:rPr>
      <w:rFonts w:ascii="Tahoma" w:hAnsi="Tahoma" w:cs="Tahoma"/>
      <w:sz w:val="16"/>
      <w:szCs w:val="16"/>
    </w:rPr>
  </w:style>
  <w:style w:type="character" w:customStyle="1" w:styleId="BalloonTextChar">
    <w:name w:val="Balloon Text Char"/>
    <w:basedOn w:val="DefaultParagraphFont"/>
    <w:link w:val="BalloonText"/>
    <w:rsid w:val="00742A1B"/>
    <w:rPr>
      <w:rFonts w:ascii="Tahoma" w:hAnsi="Tahoma" w:cs="Tahoma"/>
      <w:sz w:val="16"/>
      <w:szCs w:val="16"/>
    </w:rPr>
  </w:style>
  <w:style w:type="paragraph" w:styleId="FootnoteText">
    <w:name w:val="footnote text"/>
    <w:basedOn w:val="Normal"/>
    <w:link w:val="FootnoteTextChar"/>
    <w:rsid w:val="00C93C19"/>
    <w:rPr>
      <w:sz w:val="20"/>
      <w:szCs w:val="20"/>
    </w:rPr>
  </w:style>
  <w:style w:type="character" w:customStyle="1" w:styleId="FootnoteTextChar">
    <w:name w:val="Footnote Text Char"/>
    <w:basedOn w:val="DefaultParagraphFont"/>
    <w:link w:val="FootnoteText"/>
    <w:rsid w:val="00C93C19"/>
  </w:style>
  <w:style w:type="character" w:styleId="FootnoteReference">
    <w:name w:val="footnote reference"/>
    <w:basedOn w:val="DefaultParagraphFont"/>
    <w:rsid w:val="00C93C19"/>
    <w:rPr>
      <w:vertAlign w:val="superscript"/>
    </w:rPr>
  </w:style>
  <w:style w:type="paragraph" w:styleId="Header">
    <w:name w:val="header"/>
    <w:basedOn w:val="Normal"/>
    <w:link w:val="HeaderChar"/>
    <w:rsid w:val="003960EB"/>
    <w:pPr>
      <w:tabs>
        <w:tab w:val="center" w:pos="4680"/>
        <w:tab w:val="right" w:pos="9360"/>
      </w:tabs>
    </w:pPr>
  </w:style>
  <w:style w:type="character" w:customStyle="1" w:styleId="HeaderChar">
    <w:name w:val="Header Char"/>
    <w:basedOn w:val="DefaultParagraphFont"/>
    <w:link w:val="Header"/>
    <w:rsid w:val="003960EB"/>
    <w:rPr>
      <w:sz w:val="24"/>
      <w:szCs w:val="24"/>
    </w:rPr>
  </w:style>
  <w:style w:type="paragraph" w:styleId="Footer">
    <w:name w:val="footer"/>
    <w:basedOn w:val="Normal"/>
    <w:link w:val="FooterChar"/>
    <w:uiPriority w:val="99"/>
    <w:rsid w:val="003960EB"/>
    <w:pPr>
      <w:tabs>
        <w:tab w:val="center" w:pos="4680"/>
        <w:tab w:val="right" w:pos="9360"/>
      </w:tabs>
    </w:pPr>
  </w:style>
  <w:style w:type="character" w:customStyle="1" w:styleId="FooterChar">
    <w:name w:val="Footer Char"/>
    <w:basedOn w:val="DefaultParagraphFont"/>
    <w:link w:val="Footer"/>
    <w:uiPriority w:val="99"/>
    <w:rsid w:val="003960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78F"/>
    <w:rPr>
      <w:sz w:val="24"/>
      <w:szCs w:val="24"/>
    </w:rPr>
  </w:style>
  <w:style w:type="paragraph" w:styleId="Heading1">
    <w:name w:val="heading 1"/>
    <w:basedOn w:val="Normal"/>
    <w:next w:val="Normal"/>
    <w:qFormat/>
    <w:rsid w:val="00B2378F"/>
    <w:pPr>
      <w:keepNext/>
      <w:jc w:val="center"/>
      <w:outlineLvl w:val="0"/>
    </w:pPr>
    <w:rPr>
      <w:u w:val="single"/>
    </w:rPr>
  </w:style>
  <w:style w:type="paragraph" w:styleId="Heading2">
    <w:name w:val="heading 2"/>
    <w:basedOn w:val="Normal"/>
    <w:next w:val="Normal"/>
    <w:qFormat/>
    <w:rsid w:val="00B2378F"/>
    <w:pPr>
      <w:keepNext/>
      <w:jc w:val="right"/>
      <w:outlineLvl w:val="1"/>
    </w:pPr>
    <w:rPr>
      <w:u w:val="single"/>
    </w:rPr>
  </w:style>
  <w:style w:type="paragraph" w:styleId="Heading3">
    <w:name w:val="heading 3"/>
    <w:basedOn w:val="Normal"/>
    <w:next w:val="Normal"/>
    <w:qFormat/>
    <w:rsid w:val="00B2378F"/>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1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A3CFD"/>
    <w:rPr>
      <w:color w:val="0000FF" w:themeColor="hyperlink"/>
      <w:u w:val="single"/>
    </w:rPr>
  </w:style>
  <w:style w:type="paragraph" w:styleId="BalloonText">
    <w:name w:val="Balloon Text"/>
    <w:basedOn w:val="Normal"/>
    <w:link w:val="BalloonTextChar"/>
    <w:rsid w:val="00742A1B"/>
    <w:rPr>
      <w:rFonts w:ascii="Tahoma" w:hAnsi="Tahoma" w:cs="Tahoma"/>
      <w:sz w:val="16"/>
      <w:szCs w:val="16"/>
    </w:rPr>
  </w:style>
  <w:style w:type="character" w:customStyle="1" w:styleId="BalloonTextChar">
    <w:name w:val="Balloon Text Char"/>
    <w:basedOn w:val="DefaultParagraphFont"/>
    <w:link w:val="BalloonText"/>
    <w:rsid w:val="00742A1B"/>
    <w:rPr>
      <w:rFonts w:ascii="Tahoma" w:hAnsi="Tahoma" w:cs="Tahoma"/>
      <w:sz w:val="16"/>
      <w:szCs w:val="16"/>
    </w:rPr>
  </w:style>
  <w:style w:type="paragraph" w:styleId="FootnoteText">
    <w:name w:val="footnote text"/>
    <w:basedOn w:val="Normal"/>
    <w:link w:val="FootnoteTextChar"/>
    <w:rsid w:val="00C93C19"/>
    <w:rPr>
      <w:sz w:val="20"/>
      <w:szCs w:val="20"/>
    </w:rPr>
  </w:style>
  <w:style w:type="character" w:customStyle="1" w:styleId="FootnoteTextChar">
    <w:name w:val="Footnote Text Char"/>
    <w:basedOn w:val="DefaultParagraphFont"/>
    <w:link w:val="FootnoteText"/>
    <w:rsid w:val="00C93C19"/>
  </w:style>
  <w:style w:type="character" w:styleId="FootnoteReference">
    <w:name w:val="footnote reference"/>
    <w:basedOn w:val="DefaultParagraphFont"/>
    <w:rsid w:val="00C93C19"/>
    <w:rPr>
      <w:vertAlign w:val="superscript"/>
    </w:rPr>
  </w:style>
  <w:style w:type="paragraph" w:styleId="Header">
    <w:name w:val="header"/>
    <w:basedOn w:val="Normal"/>
    <w:link w:val="HeaderChar"/>
    <w:rsid w:val="003960EB"/>
    <w:pPr>
      <w:tabs>
        <w:tab w:val="center" w:pos="4680"/>
        <w:tab w:val="right" w:pos="9360"/>
      </w:tabs>
    </w:pPr>
  </w:style>
  <w:style w:type="character" w:customStyle="1" w:styleId="HeaderChar">
    <w:name w:val="Header Char"/>
    <w:basedOn w:val="DefaultParagraphFont"/>
    <w:link w:val="Header"/>
    <w:rsid w:val="003960EB"/>
    <w:rPr>
      <w:sz w:val="24"/>
      <w:szCs w:val="24"/>
    </w:rPr>
  </w:style>
  <w:style w:type="paragraph" w:styleId="Footer">
    <w:name w:val="footer"/>
    <w:basedOn w:val="Normal"/>
    <w:link w:val="FooterChar"/>
    <w:uiPriority w:val="99"/>
    <w:rsid w:val="003960EB"/>
    <w:pPr>
      <w:tabs>
        <w:tab w:val="center" w:pos="4680"/>
        <w:tab w:val="right" w:pos="9360"/>
      </w:tabs>
    </w:pPr>
  </w:style>
  <w:style w:type="character" w:customStyle="1" w:styleId="FooterChar">
    <w:name w:val="Footer Char"/>
    <w:basedOn w:val="DefaultParagraphFont"/>
    <w:link w:val="Footer"/>
    <w:uiPriority w:val="99"/>
    <w:rsid w:val="003960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ample\My%20Documents\Matt's%20Cases\Request%20For%20Documents%20ERISA%20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94B0-5AF2-442C-82C6-3C4E4BF8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Documents ERISA Plan</Template>
  <TotalTime>0</TotalTime>
  <Pages>3</Pages>
  <Words>981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Request For Documents ERISA Plan</vt:lpstr>
    </vt:vector>
  </TitlesOfParts>
  <Company>gerontology</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Documents ERISA Plan</dc:title>
  <dc:creator>msample</dc:creator>
  <cp:lastModifiedBy>Jeanne Medeiros</cp:lastModifiedBy>
  <cp:revision>2</cp:revision>
  <cp:lastPrinted>2014-11-10T15:05:00Z</cp:lastPrinted>
  <dcterms:created xsi:type="dcterms:W3CDTF">2014-11-25T18:48:00Z</dcterms:created>
  <dcterms:modified xsi:type="dcterms:W3CDTF">2014-11-25T18:48:00Z</dcterms:modified>
</cp:coreProperties>
</file>